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Law Firm Client Intake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SOP-LAW-001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Intake Coordinator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new client and matter is properly identified, cleared for conflicts, documented with a signed engagement letter, and opened in the firm's systems before billable work begins.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new clients and new matters for existing clients across all practice groups. The detailed conflict of interest search process is covered by a separate SOP and is only referenced here.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Matter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single client engagement or case tracked separately in the practice management system for billing, conflicts and calendaring.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Engagement letter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signed agreement that defines the scope of representation, fee arrangement and client responsibilities.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Client trust account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bank account used to hold client retainers and funds that belong to the client until they are earned or disbursed.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Conflict clearance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Confirmation from the conflicts process that no conflict of interest prevents the firm from accepting the matter.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Intake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Logs new client contacts, gathers intake information, requests conflict checks and opens new matters.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Conflicts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Runs and documents the conflict of interest search and reports the result to the intake team.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Responsible Attorney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engagement terms, reviews conflict results, signs the engagement letter and owns the matter.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Billing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Collects signed engagement letters and retainers and deposits funds into the client trust account.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Intake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Conflicts Analyst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Responsible Attorney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Billing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prospective client information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conflict of interest check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engagement terms and fees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engagement letter and retainer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Open matter and matter file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Practice management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intake questionnaire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Conflict check request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Engagement letter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trust account ledger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Document management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Matter numbering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initial client contact</w:t>
            </w:r>
          </w:p>
          <w:p>
            <w:r>
              <w:t xml:space="preserve">When a prospective client calls, emails or is referred to the firm, the intake coordinator records the contact date, referral source, and a short description of the legal issue in the practice management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Intake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client and matter details</w:t>
            </w:r>
          </w:p>
          <w:p>
            <w:r>
              <w:t xml:space="preserve">The intake coordinator gathers the full legal names of the client and all related parties, contact information, and a summary of the matter, since complete names are required to run a conflict check.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All party names, including former names and related entities, are captured before the conflict check is submitted.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Intake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conflict of interest check request</w:t>
            </w:r>
          </w:p>
          <w:p>
            <w:r>
              <w:t xml:space="preserve">The intake coordinator submits a conflict check request listing the client, adverse parties and related entities to the conflicts analyst, following the separate conflict of interest check SOP.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Intake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conflict check results</w:t>
            </w:r>
          </w:p>
          <w:p>
            <w:r>
              <w:t xml:space="preserve">The conflicts analyst reports the search results to the intake coordinator and responsible attorney, noting any potential conflicts that need a decision before the matter can proceed.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matter stays on hold until a clearance or a documented waiver is received.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Conflicts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engagement terms and fees</w:t>
            </w:r>
          </w:p>
          <w:p>
            <w:r>
              <w:t xml:space="preserve">The responsible attorney reviews the conflict clearance, defines the scope of representation, and agrees the fee arrangement, such as hourly, flat fee or contingency, with the client.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Responsible Attorney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Draft and send the engagement letter</w:t>
            </w:r>
          </w:p>
          <w:p>
            <w:r>
              <w:t xml:space="preserve">The intake coordinator drafts the engagement letter from the firm's template using the agreed scope and fee terms and sends it to the client for signature.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Intake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signed letter and retainer</w:t>
            </w:r>
          </w:p>
          <w:p>
            <w:r>
              <w:t xml:space="preserve">The billing coordinator confirms the signed engagement letter and any required retainer payment have been received from the client before the matter is treated as active.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begin billable work before the signed engagement letter and any required retainer are on file, except with documented partner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Billing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Deposit retainer into trust account</w:t>
            </w:r>
          </w:p>
          <w:p>
            <w:r>
              <w:t xml:space="preserve">The billing coordinator deposits the retainer into the client trust account and records the deposit on the client's trust ledger, keeping client funds separate from firm operating funds.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Trust deposits are reconciled by someone other than the person who recorded them.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Billing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Open the matter and assign a number</w:t>
            </w:r>
          </w:p>
          <w:p>
            <w:r>
              <w:t xml:space="preserve">The intake coordinator creates the matter record in the practice management system, assigns a matter number, and links the responsible attorney and billing arrangement.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Intake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the client and matter file</w:t>
            </w:r>
          </w:p>
          <w:p>
            <w:r>
              <w:t xml:space="preserve">The intake coordinator creates the matter folder in the document management system using the standard folder structure and uploads the engagement letter and intake questionnaire.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Intake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Calendar key dates and deadlines</w:t>
            </w:r>
          </w:p>
          <w:p>
            <w:r>
              <w:t xml:space="preserve">The responsible attorney identifies any statutes of limitations, court deadlines or renewal dates known at intake and enters them into the firm's calendaring system with reminders.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Responsible Attorney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portal access and welcome packet</w:t>
            </w:r>
          </w:p>
          <w:p>
            <w:r>
              <w:t xml:space="preserve">The intake coordinator sets up the client's access to the client portal, where used, and sends a welcome packet explaining how to reach the team and review billing.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Intake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new matter has a documented conflict clearance or signed waiver on file before work begins.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engagement letter and retainer are on file before billable time is entered.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 matter numbers are unique and linked to the correct responsible attorney.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trust deposits are reconciled monthly against the trust ledger.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Conflict check request and result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engagement letter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trust account ledger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Matter file in the document management system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first contact to matter opening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matters opened without a documented conflict clearance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engagement letters signed within the target turnaround time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Starting work before the conflict check is cleared.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former names or related entities on the conflict check request.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Depositing retainers into the operating account instead of the trust account.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a matter number before the engagement letter is signed.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elcs-5btdzn5ekrsjrfkq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hatl_grtcj1xp3gat3agc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SOP-LAW-001  |  Law Firm Client Intake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elcs-5btdzn5ekrsjrfkq" Type="http://schemas.openxmlformats.org/officeDocument/2006/relationships/hyperlink" Target="https://app.perfectwiki.xyz/demo?source=sop_template&amp;template=pw9CtgswgWXwlrdNdCVOYfS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tl_grtcj1xp3gat3agc" Type="http://schemas.openxmlformats.org/officeDocument/2006/relationships/hyperlink" Target="https://perfectwikiforteams.com/sop-templates/law-firm/client-intak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 Firm Client Intake SOP</dc:title>
  <dc:creator>Perfect Wiki</dc:creator>
  <dc:description>Law Firm Client Intake SOP template</dc:description>
  <cp:lastModifiedBy>Un-named</cp:lastModifiedBy>
  <cp:revision>1</cp:revision>
  <dcterms:created xsi:type="dcterms:W3CDTF">2026-09-21T13:15:34.241Z</dcterms:created>
  <dcterms:modified xsi:type="dcterms:W3CDTF">2026-09-21T13:15:34.241Z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