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Incident Response Runbook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Security Lead</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6 months</w:t>
            </w:r>
          </w:p>
        </w:tc>
      </w:tr>
    </w:tbl>
    <w:p>
      <w:pPr>
        <w:pStyle w:val="Heading1"/>
        <w:keepNext/>
      </w:pPr>
      <w:r>
        <w:t xml:space="preserve">1. Purpose</w:t>
      </w:r>
    </w:p>
    <w:p>
      <w:pPr>
        <w:spacing w:after="140"/>
      </w:pPr>
      <w:r>
        <w:t xml:space="preserve">To respond to security incidents at managed clients quickly and consistently, limit damage, keep the client informed and stop a threat in one client from spreading through the MSP’s shared tools to others.</w:t>
      </w:r>
    </w:p>
    <w:p>
      <w:pPr>
        <w:pStyle w:val="Heading1"/>
        <w:keepNext/>
      </w:pPr>
      <w:r>
        <w:t xml:space="preserve">2. Scope</w:t>
      </w:r>
    </w:p>
    <w:p>
      <w:pPr>
        <w:spacing w:after="140"/>
      </w:pPr>
      <w:r>
        <w:t xml:space="preserve">Applies to suspected or confirmed security incidents in any managed client environment or in the MSP’s own tools, such as ransomware, compromised accounts, malware and data exposure. Routine service outages follow the incident management process instead.</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Security incident</w:t>
            </w:r>
          </w:p>
        </w:tc>
        <w:tc>
          <w:tcPr>
            <w:tcW w:type="dxa" w:w="7280"/>
            <w:tcMar>
              <w:top w:type="dxa" w:w="70"/>
              <w:left w:type="dxa" w:w="110"/>
              <w:bottom w:type="dxa" w:w="70"/>
              <w:right w:type="dxa" w:w="110"/>
            </w:tcMar>
          </w:tcPr>
          <w:p>
            <w:r>
              <w:t xml:space="preserve">An event that threatens the confidentiality, integrity or availability of client systems or data and needs a coordinated response.</w:t>
            </w:r>
          </w:p>
        </w:tc>
      </w:tr>
      <w:tr>
        <w:tc>
          <w:tcPr>
            <w:tcW w:type="dxa" w:w="2800"/>
            <w:shd w:fill="FFFAF2" w:color="auto" w:val="clear"/>
            <w:tcMar>
              <w:top w:type="dxa" w:w="70"/>
              <w:left w:type="dxa" w:w="110"/>
              <w:bottom w:type="dxa" w:w="70"/>
              <w:right w:type="dxa" w:w="110"/>
            </w:tcMar>
          </w:tcPr>
          <w:p>
            <w:r>
              <w:rPr>
                <w:b/>
                <w:bCs/>
              </w:rPr>
              <w:t xml:space="preserve">Incident Commander</w:t>
            </w:r>
          </w:p>
        </w:tc>
        <w:tc>
          <w:tcPr>
            <w:tcW w:type="dxa" w:w="7280"/>
            <w:tcMar>
              <w:top w:type="dxa" w:w="70"/>
              <w:left w:type="dxa" w:w="110"/>
              <w:bottom w:type="dxa" w:w="70"/>
              <w:right w:type="dxa" w:w="110"/>
            </w:tcMar>
          </w:tcPr>
          <w:p>
            <w:r>
              <w:t xml:space="preserve">The person who leads the response, assigns tasks, makes decisions and owns communication until the incident is closed.</w:t>
            </w:r>
          </w:p>
        </w:tc>
      </w:tr>
      <w:tr>
        <w:tc>
          <w:tcPr>
            <w:tcW w:type="dxa" w:w="2800"/>
            <w:shd w:fill="FFFAF2" w:color="auto" w:val="clear"/>
            <w:tcMar>
              <w:top w:type="dxa" w:w="70"/>
              <w:left w:type="dxa" w:w="110"/>
              <w:bottom w:type="dxa" w:w="70"/>
              <w:right w:type="dxa" w:w="110"/>
            </w:tcMar>
          </w:tcPr>
          <w:p>
            <w:r>
              <w:rPr>
                <w:b/>
                <w:bCs/>
              </w:rPr>
              <w:t xml:space="preserve">Indicator of compromise</w:t>
            </w:r>
          </w:p>
        </w:tc>
        <w:tc>
          <w:tcPr>
            <w:tcW w:type="dxa" w:w="7280"/>
            <w:tcMar>
              <w:top w:type="dxa" w:w="70"/>
              <w:left w:type="dxa" w:w="110"/>
              <w:bottom w:type="dxa" w:w="70"/>
              <w:right w:type="dxa" w:w="110"/>
            </w:tcMar>
          </w:tcPr>
          <w:p>
            <w:r>
              <w:t xml:space="preserve">Evidence such as a file hash, IP address, domain or account activity that points to malicious activity.</w:t>
            </w:r>
          </w:p>
        </w:tc>
      </w:tr>
      <w:tr>
        <w:tc>
          <w:tcPr>
            <w:tcW w:type="dxa" w:w="2800"/>
            <w:shd w:fill="FFFAF2" w:color="auto" w:val="clear"/>
            <w:tcMar>
              <w:top w:type="dxa" w:w="70"/>
              <w:left w:type="dxa" w:w="110"/>
              <w:bottom w:type="dxa" w:w="70"/>
              <w:right w:type="dxa" w:w="110"/>
            </w:tcMar>
          </w:tcPr>
          <w:p>
            <w:r>
              <w:rPr>
                <w:b/>
                <w:bCs/>
              </w:rPr>
              <w:t xml:space="preserve">Containment</w:t>
            </w:r>
          </w:p>
        </w:tc>
        <w:tc>
          <w:tcPr>
            <w:tcW w:type="dxa" w:w="7280"/>
            <w:tcMar>
              <w:top w:type="dxa" w:w="70"/>
              <w:left w:type="dxa" w:w="110"/>
              <w:bottom w:type="dxa" w:w="70"/>
              <w:right w:type="dxa" w:w="110"/>
            </w:tcMar>
          </w:tcPr>
          <w:p>
            <w:r>
              <w:t xml:space="preserve">Actions that stop an incident from spreading, such as isolating devices or disabling accounts, before the cause is removed.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Service Desk Technician</w:t>
            </w:r>
          </w:p>
        </w:tc>
        <w:tc>
          <w:tcPr>
            <w:tcW w:type="dxa" w:w="7280"/>
            <w:tcMar>
              <w:top w:type="dxa" w:w="70"/>
              <w:left w:type="dxa" w:w="110"/>
              <w:bottom w:type="dxa" w:w="70"/>
              <w:right w:type="dxa" w:w="110"/>
            </w:tcMar>
          </w:tcPr>
          <w:p>
            <w:r>
              <w:t xml:space="preserve">Receives the first report or alert, gathers the initial facts and escalates to security without delay.</w:t>
            </w:r>
          </w:p>
        </w:tc>
      </w:tr>
      <w:tr>
        <w:tc>
          <w:tcPr>
            <w:tcW w:type="dxa" w:w="2800"/>
            <w:shd w:fill="FFFAF2" w:color="auto" w:val="clear"/>
            <w:tcMar>
              <w:top w:type="dxa" w:w="70"/>
              <w:left w:type="dxa" w:w="110"/>
              <w:bottom w:type="dxa" w:w="70"/>
              <w:right w:type="dxa" w:w="110"/>
            </w:tcMar>
          </w:tcPr>
          <w:p>
            <w:r>
              <w:rPr>
                <w:b/>
                <w:bCs/>
              </w:rPr>
              <w:t xml:space="preserve">Security Engineer</w:t>
            </w:r>
          </w:p>
        </w:tc>
        <w:tc>
          <w:tcPr>
            <w:tcW w:type="dxa" w:w="7280"/>
            <w:tcMar>
              <w:top w:type="dxa" w:w="70"/>
              <w:left w:type="dxa" w:w="110"/>
              <w:bottom w:type="dxa" w:w="70"/>
              <w:right w:type="dxa" w:w="110"/>
            </w:tcMar>
          </w:tcPr>
          <w:p>
            <w:r>
              <w:t xml:space="preserve">Classifies the incident, contains and investigates it, preserves evidence and removes the cause.</w:t>
            </w:r>
          </w:p>
        </w:tc>
      </w:tr>
      <w:tr>
        <w:tc>
          <w:tcPr>
            <w:tcW w:type="dxa" w:w="2800"/>
            <w:shd w:fill="FFFAF2" w:color="auto" w:val="clear"/>
            <w:tcMar>
              <w:top w:type="dxa" w:w="70"/>
              <w:left w:type="dxa" w:w="110"/>
              <w:bottom w:type="dxa" w:w="70"/>
              <w:right w:type="dxa" w:w="110"/>
            </w:tcMar>
          </w:tcPr>
          <w:p>
            <w:r>
              <w:rPr>
                <w:b/>
                <w:bCs/>
              </w:rPr>
              <w:t xml:space="preserve">Incident Commander</w:t>
            </w:r>
          </w:p>
        </w:tc>
        <w:tc>
          <w:tcPr>
            <w:tcW w:type="dxa" w:w="7280"/>
            <w:tcMar>
              <w:top w:type="dxa" w:w="70"/>
              <w:left w:type="dxa" w:w="110"/>
              <w:bottom w:type="dxa" w:w="70"/>
              <w:right w:type="dxa" w:w="110"/>
            </w:tcMar>
          </w:tcPr>
          <w:p>
            <w:r>
              <w:t xml:space="preserve">Leads the response, coordinates engineers, keeps the timeline and runs the post-incident review.</w:t>
            </w:r>
          </w:p>
        </w:tc>
      </w:tr>
      <w:tr>
        <w:tc>
          <w:tcPr>
            <w:tcW w:type="dxa" w:w="2800"/>
            <w:shd w:fill="FFFAF2" w:color="auto" w:val="clear"/>
            <w:tcMar>
              <w:top w:type="dxa" w:w="70"/>
              <w:left w:type="dxa" w:w="110"/>
              <w:bottom w:type="dxa" w:w="70"/>
              <w:right w:type="dxa" w:w="110"/>
            </w:tcMar>
          </w:tcPr>
          <w:p>
            <w:r>
              <w:rPr>
                <w:b/>
                <w:bCs/>
              </w:rPr>
              <w:t xml:space="preserve">Technical Account Manager</w:t>
            </w:r>
          </w:p>
        </w:tc>
        <w:tc>
          <w:tcPr>
            <w:tcW w:type="dxa" w:w="7280"/>
            <w:tcMar>
              <w:top w:type="dxa" w:w="70"/>
              <w:left w:type="dxa" w:w="110"/>
              <w:bottom w:type="dxa" w:w="70"/>
              <w:right w:type="dxa" w:w="110"/>
            </w:tcMar>
          </w:tcPr>
          <w:p>
            <w:r>
              <w:t xml:space="preserve">Notifies the client, gives regular updates and records the client’s decisions.</w:t>
            </w:r>
          </w:p>
        </w:tc>
      </w:tr>
      <w:tr>
        <w:tc>
          <w:tcPr>
            <w:tcW w:type="dxa" w:w="2800"/>
            <w:shd w:fill="FFFAF2" w:color="auto" w:val="clear"/>
            <w:tcMar>
              <w:top w:type="dxa" w:w="70"/>
              <w:left w:type="dxa" w:w="110"/>
              <w:bottom w:type="dxa" w:w="70"/>
              <w:right w:type="dxa" w:w="110"/>
            </w:tcMar>
          </w:tcPr>
          <w:p>
            <w:r>
              <w:rPr>
                <w:b/>
                <w:bCs/>
              </w:rPr>
              <w:t xml:space="preserve">Client Point of Contact</w:t>
            </w:r>
          </w:p>
        </w:tc>
        <w:tc>
          <w:tcPr>
            <w:tcW w:type="dxa" w:w="7280"/>
            <w:tcMar>
              <w:top w:type="dxa" w:w="70"/>
              <w:left w:type="dxa" w:w="110"/>
              <w:bottom w:type="dxa" w:w="70"/>
              <w:right w:type="dxa" w:w="110"/>
            </w:tcMar>
          </w:tcPr>
          <w:p>
            <w:r>
              <w:t xml:space="preserve">Makes business decisions, approves disruptive actions and handles the client’s legal, insurance and regulatory notifications.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336"/>
        <w:gridCol w:w="1336"/>
        <w:gridCol w:w="1336"/>
        <w:gridCol w:w="1336"/>
        <w:gridCol w:w="133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336"/>
            <w:shd w:fill="0E0820" w:color="auto" w:val="clear"/>
            <w:tcMar>
              <w:top w:type="dxa" w:w="70"/>
              <w:left w:type="dxa" w:w="110"/>
              <w:bottom w:type="dxa" w:w="70"/>
              <w:right w:type="dxa" w:w="110"/>
            </w:tcMar>
          </w:tcPr>
          <w:p>
            <w:r>
              <w:rPr>
                <w:b/>
                <w:bCs/>
                <w:color w:val="FFFFFF"/>
              </w:rPr>
              <w:t xml:space="preserve">Service Desk Technician</w:t>
            </w:r>
          </w:p>
        </w:tc>
        <w:tc>
          <w:tcPr>
            <w:tcW w:type="dxa" w:w="1336"/>
            <w:shd w:fill="0E0820" w:color="auto" w:val="clear"/>
            <w:tcMar>
              <w:top w:type="dxa" w:w="70"/>
              <w:left w:type="dxa" w:w="110"/>
              <w:bottom w:type="dxa" w:w="70"/>
              <w:right w:type="dxa" w:w="110"/>
            </w:tcMar>
          </w:tcPr>
          <w:p>
            <w:r>
              <w:rPr>
                <w:b/>
                <w:bCs/>
                <w:color w:val="FFFFFF"/>
              </w:rPr>
              <w:t xml:space="preserve">Security Engineer</w:t>
            </w:r>
          </w:p>
        </w:tc>
        <w:tc>
          <w:tcPr>
            <w:tcW w:type="dxa" w:w="1336"/>
            <w:shd w:fill="0E0820" w:color="auto" w:val="clear"/>
            <w:tcMar>
              <w:top w:type="dxa" w:w="70"/>
              <w:left w:type="dxa" w:w="110"/>
              <w:bottom w:type="dxa" w:w="70"/>
              <w:right w:type="dxa" w:w="110"/>
            </w:tcMar>
          </w:tcPr>
          <w:p>
            <w:r>
              <w:rPr>
                <w:b/>
                <w:bCs/>
                <w:color w:val="FFFFFF"/>
              </w:rPr>
              <w:t xml:space="preserve">Incident Commander</w:t>
            </w:r>
          </w:p>
        </w:tc>
        <w:tc>
          <w:tcPr>
            <w:tcW w:type="dxa" w:w="1336"/>
            <w:shd w:fill="0E0820" w:color="auto" w:val="clear"/>
            <w:tcMar>
              <w:top w:type="dxa" w:w="70"/>
              <w:left w:type="dxa" w:w="110"/>
              <w:bottom w:type="dxa" w:w="70"/>
              <w:right w:type="dxa" w:w="110"/>
            </w:tcMar>
          </w:tcPr>
          <w:p>
            <w:r>
              <w:rPr>
                <w:b/>
                <w:bCs/>
                <w:color w:val="FFFFFF"/>
              </w:rPr>
              <w:t xml:space="preserve">Technical Account Manager</w:t>
            </w:r>
          </w:p>
        </w:tc>
        <w:tc>
          <w:tcPr>
            <w:tcW w:type="dxa" w:w="1336"/>
            <w:shd w:fill="0E0820" w:color="auto" w:val="clear"/>
            <w:tcMar>
              <w:top w:type="dxa" w:w="70"/>
              <w:left w:type="dxa" w:w="110"/>
              <w:bottom w:type="dxa" w:w="70"/>
              <w:right w:type="dxa" w:w="110"/>
            </w:tcMar>
          </w:tcPr>
          <w:p>
            <w:r>
              <w:rPr>
                <w:b/>
                <w:bCs/>
                <w:color w:val="FFFFFF"/>
              </w:rPr>
              <w:t xml:space="preserve">Client Point of Contact</w:t>
            </w:r>
          </w:p>
        </w:tc>
      </w:tr>
      <w:tr>
        <w:tc>
          <w:tcPr>
            <w:tcW w:type="dxa" w:w="3400"/>
            <w:tcMar>
              <w:top w:type="dxa" w:w="70"/>
              <w:left w:type="dxa" w:w="110"/>
              <w:bottom w:type="dxa" w:w="70"/>
              <w:right w:type="dxa" w:w="110"/>
            </w:tcMar>
          </w:tcPr>
          <w:p>
            <w:r>
              <w:t xml:space="preserve">Triage and classify the incident</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Lead and coordinate the response</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Contain, eradicate and recover</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Communicate with the client</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Decide on external notifications</w:t>
            </w:r>
          </w:p>
        </w:tc>
        <w:tc>
          <w:tcPr>
            <w:tcW w:type="dxa" w:w="1336"/>
            <w:tcMar>
              <w:top w:type="dxa" w:w="70"/>
              <w:left w:type="dxa" w:w="110"/>
              <w:bottom w:type="dxa" w:w="70"/>
              <w:right w:type="dxa" w:w="110"/>
            </w:tcMar>
          </w:tcPr>
          <w:p>
            <w:pPr>
              <w:jc w:val="center"/>
            </w:pPr>
            <w:r>
              <w:t xml:space="preserve">-</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EDR and security monitoring consoles</w:t>
      </w:r>
    </w:p>
    <w:p>
      <w:pPr>
        <w:pStyle w:val="ListParagraph"/>
        <w:numPr>
          <w:ilvl w:val="0"/>
          <w:numId w:val="1"/>
        </w:numPr>
        <w:spacing w:after="60"/>
      </w:pPr>
      <w:r>
        <w:t xml:space="preserve">RMM tool with remote isolation</w:t>
      </w:r>
    </w:p>
    <w:p>
      <w:pPr>
        <w:pStyle w:val="ListParagraph"/>
        <w:numPr>
          <w:ilvl w:val="0"/>
          <w:numId w:val="1"/>
        </w:numPr>
        <w:spacing w:after="60"/>
      </w:pPr>
      <w:r>
        <w:t xml:space="preserve">PSA ticketing system</w:t>
      </w:r>
    </w:p>
    <w:p>
      <w:pPr>
        <w:pStyle w:val="ListParagraph"/>
        <w:numPr>
          <w:ilvl w:val="0"/>
          <w:numId w:val="1"/>
        </w:numPr>
        <w:spacing w:after="60"/>
      </w:pPr>
      <w:r>
        <w:t xml:space="preserve">Dedicated incident chat channel or bridge line</w:t>
      </w:r>
    </w:p>
    <w:p>
      <w:pPr>
        <w:pStyle w:val="ListParagraph"/>
        <w:numPr>
          <w:ilvl w:val="0"/>
          <w:numId w:val="1"/>
        </w:numPr>
        <w:spacing w:after="60"/>
      </w:pPr>
      <w:r>
        <w:t xml:space="preserve">Client contact and escalation matrix</w:t>
      </w:r>
    </w:p>
    <w:p>
      <w:pPr>
        <w:pStyle w:val="ListParagraph"/>
        <w:numPr>
          <w:ilvl w:val="0"/>
          <w:numId w:val="1"/>
        </w:numPr>
        <w:spacing w:after="60"/>
      </w:pPr>
      <w:r>
        <w:t xml:space="preserve">Incident timeline template</w:t>
      </w:r>
    </w:p>
    <w:p>
      <w:pPr>
        <w:pStyle w:val="ListParagraph"/>
        <w:numPr>
          <w:ilvl w:val="0"/>
          <w:numId w:val="1"/>
        </w:numPr>
        <w:spacing w:after="60"/>
      </w:pPr>
      <w:r>
        <w:t xml:space="preserve">Verified backups for recovery</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and triage the alert</w:t>
            </w:r>
          </w:p>
          <w:p>
            <w:r>
              <w:t xml:space="preserve">The Service Desk Technician logs the alert or report in the PSA, records what was seen, when and on which devices, and escalates to the Security Engineer immediately.</w:t>
            </w:r>
          </w:p>
        </w:tc>
        <w:tc>
          <w:tcPr>
            <w:tcW w:type="dxa" w:w="2000"/>
            <w:tcMar>
              <w:top w:type="dxa" w:w="70"/>
              <w:left w:type="dxa" w:w="110"/>
              <w:bottom w:type="dxa" w:w="70"/>
              <w:right w:type="dxa" w:w="110"/>
            </w:tcMar>
          </w:tcPr>
          <w:p>
            <w:r>
              <w:t xml:space="preserve">Service Desk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Classify the incident severity</w:t>
            </w:r>
          </w:p>
          <w:p>
            <w:r>
              <w:t xml:space="preserve">The Security Engineer confirms whether it is a real incident and classifies severity by the systems, data and number of users affected.</w:t>
            </w:r>
          </w:p>
          <w:p>
            <w:pPr>
              <w:spacing w:before="60"/>
            </w:pPr>
            <w:r>
              <w:rPr>
                <w:b/>
                <w:bCs/>
                <w:color w:val="9A5B00"/>
              </w:rPr>
              <w:t xml:space="preserve">Checkpoint: </w:t>
            </w:r>
            <w:r>
              <w:t xml:space="preserve">Severity is recorded in the ticket within 30 minutes of the alert being escalated.</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Assign an Incident Commander</w:t>
            </w:r>
          </w:p>
          <w:p>
            <w:r>
              <w:t xml:space="preserve">For high and critical incidents, the Incident Commander takes the lead, opens a dedicated incident channel and assigns tasks to engineers.</w:t>
            </w:r>
          </w:p>
        </w:tc>
        <w:tc>
          <w:tcPr>
            <w:tcW w:type="dxa" w:w="2000"/>
            <w:tcMar>
              <w:top w:type="dxa" w:w="70"/>
              <w:left w:type="dxa" w:w="110"/>
              <w:bottom w:type="dxa" w:w="70"/>
              <w:right w:type="dxa" w:w="110"/>
            </w:tcMar>
          </w:tcPr>
          <w:p>
            <w:r>
              <w:t xml:space="preserve">Incident Commander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Notify the client</w:t>
            </w:r>
          </w:p>
          <w:p>
            <w:r>
              <w:t xml:space="preserve">The Technical Account Manager notifies the Client Point of Contact using the escalation matrix, explains what is known and agrees the update schedule.</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Contain the threat</w:t>
            </w:r>
          </w:p>
          <w:p>
            <w:r>
              <w:t xml:space="preserve">The Security Engineer isolates affected devices, disables compromised accounts, revokes active sessions and blocks known malicious addresses and files.</w:t>
            </w:r>
          </w:p>
          <w:p>
            <w:pPr>
              <w:spacing w:before="60"/>
            </w:pPr>
            <w:r>
              <w:rPr>
                <w:b/>
                <w:bCs/>
                <w:color w:val="B42318"/>
              </w:rPr>
              <w:t xml:space="preserve">Warning: </w:t>
            </w:r>
            <w:r>
              <w:t xml:space="preserve">Do not wipe or rebuild affected systems before evidence has been preserved, unless the Incident Commander decides it is needed to stop the spread.</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Preserve evidence</w:t>
            </w:r>
          </w:p>
          <w:p>
            <w:r>
              <w:t xml:space="preserve">The Security Engineer exports relevant logs, captures alerts and screenshots and keeps affected disks or images, recording who collected what and when.</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Check other clients for the same threat</w:t>
            </w:r>
          </w:p>
          <w:p>
            <w:r>
              <w:t xml:space="preserve">The Security Engineer searches every other managed client and the MSP’s own RMM, remote access and vault for the same indicators of compromise.</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Remove the cause</w:t>
            </w:r>
          </w:p>
          <w:p>
            <w:r>
              <w:t xml:space="preserve">The Security Engineer removes malware and persistence, closes the exploited weakness and resets credentials that may have been exposed.</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Recover affected systems</w:t>
            </w:r>
          </w:p>
          <w:p>
            <w:r>
              <w:t xml:space="preserve">The Security Engineer restores systems from known-good backups or rebuilds them, then monitors them closely for signs of reinfection.</w:t>
            </w:r>
          </w:p>
          <w:p>
            <w:pPr>
              <w:spacing w:before="60"/>
            </w:pPr>
            <w:r>
              <w:rPr>
                <w:b/>
                <w:bCs/>
                <w:color w:val="9A5B00"/>
              </w:rPr>
              <w:t xml:space="preserve">Checkpoint: </w:t>
            </w:r>
            <w:r>
              <w:t xml:space="preserve">Restored systems are scanned clean and monitored for at least 72 hours before the incident is closed.</w:t>
            </w:r>
          </w:p>
        </w:tc>
        <w:tc>
          <w:tcPr>
            <w:tcW w:type="dxa" w:w="2000"/>
            <w:tcMar>
              <w:top w:type="dxa" w:w="70"/>
              <w:left w:type="dxa" w:w="110"/>
              <w:bottom w:type="dxa" w:w="70"/>
              <w:right w:type="dxa" w:w="110"/>
            </w:tcMar>
          </w:tcPr>
          <w:p>
            <w:r>
              <w:t xml:space="preserve">Security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Keep the timeline and send updates</w:t>
            </w:r>
          </w:p>
          <w:p>
            <w:r>
              <w:t xml:space="preserve">The Incident Commander keeps a timestamped timeline of actions and decisions and makes sure the client receives updates at the agreed interval.</w:t>
            </w:r>
          </w:p>
        </w:tc>
        <w:tc>
          <w:tcPr>
            <w:tcW w:type="dxa" w:w="2000"/>
            <w:tcMar>
              <w:top w:type="dxa" w:w="70"/>
              <w:left w:type="dxa" w:w="110"/>
              <w:bottom w:type="dxa" w:w="70"/>
              <w:right w:type="dxa" w:w="110"/>
            </w:tcMar>
          </w:tcPr>
          <w:p>
            <w:r>
              <w:t xml:space="preserve">Incident Commander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Decide on external notifications</w:t>
            </w:r>
          </w:p>
          <w:p>
            <w:r>
              <w:t xml:space="preserve">The Client Point of Contact decides whether to notify insurers, regulators, customers or law enforcement, using the facts and timeline supplied by the MSP.</w:t>
            </w:r>
          </w:p>
        </w:tc>
        <w:tc>
          <w:tcPr>
            <w:tcW w:type="dxa" w:w="2000"/>
            <w:tcMar>
              <w:top w:type="dxa" w:w="70"/>
              <w:left w:type="dxa" w:w="110"/>
              <w:bottom w:type="dxa" w:w="70"/>
              <w:right w:type="dxa" w:w="110"/>
            </w:tcMar>
          </w:tcPr>
          <w:p>
            <w:r>
              <w:t xml:space="preserve">Client Point of Contact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Close the incident</w:t>
            </w:r>
          </w:p>
          <w:p>
            <w:r>
              <w:t xml:space="preserve">The Incident Commander closes the incident once the threat is removed, systems are recovered and the client agrees, and records the final status in the ticket.</w:t>
            </w:r>
          </w:p>
        </w:tc>
        <w:tc>
          <w:tcPr>
            <w:tcW w:type="dxa" w:w="2000"/>
            <w:tcMar>
              <w:top w:type="dxa" w:w="70"/>
              <w:left w:type="dxa" w:w="110"/>
              <w:bottom w:type="dxa" w:w="70"/>
              <w:right w:type="dxa" w:w="110"/>
            </w:tcMar>
          </w:tcPr>
          <w:p>
            <w:r>
              <w:t xml:space="preserve">Incident Commander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Run the post-incident review</w:t>
            </w:r>
          </w:p>
          <w:p>
            <w:r>
              <w:t xml:space="preserve">The Incident Commander runs a blameless review within five business days and assigns actions to update runbooks, client documentation and security controls.</w:t>
            </w:r>
          </w:p>
        </w:tc>
        <w:tc>
          <w:tcPr>
            <w:tcW w:type="dxa" w:w="2000"/>
            <w:tcMar>
              <w:top w:type="dxa" w:w="70"/>
              <w:left w:type="dxa" w:w="110"/>
              <w:bottom w:type="dxa" w:w="70"/>
              <w:right w:type="dxa" w:w="110"/>
            </w:tcMar>
          </w:tcPr>
          <w:p>
            <w:r>
              <w:t xml:space="preserve">Incident Commander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security alert was escalated and classified within the target time.</w:t>
      </w:r>
    </w:p>
    <w:p>
      <w:pPr>
        <w:pStyle w:val="ListParagraph"/>
        <w:numPr>
          <w:ilvl w:val="0"/>
          <w:numId w:val="1"/>
        </w:numPr>
        <w:spacing w:after="60"/>
      </w:pPr>
      <w:r>
        <w:t xml:space="preserve">Containment happened before any evidence-destroying recovery work.</w:t>
      </w:r>
    </w:p>
    <w:p>
      <w:pPr>
        <w:pStyle w:val="ListParagraph"/>
        <w:numPr>
          <w:ilvl w:val="0"/>
          <w:numId w:val="1"/>
        </w:numPr>
        <w:spacing w:after="60"/>
      </w:pPr>
      <w:r>
        <w:t xml:space="preserve">Other managed clients were checked for the same indicators of compromise.</w:t>
      </w:r>
    </w:p>
    <w:p>
      <w:pPr>
        <w:pStyle w:val="ListParagraph"/>
        <w:numPr>
          <w:ilvl w:val="0"/>
          <w:numId w:val="1"/>
        </w:numPr>
        <w:spacing w:after="60"/>
      </w:pPr>
      <w:r>
        <w:t xml:space="preserve">The client received updates at the agreed interval throughout the incident.</w:t>
      </w:r>
    </w:p>
    <w:p>
      <w:pPr>
        <w:pStyle w:val="ListParagraph"/>
        <w:numPr>
          <w:ilvl w:val="0"/>
          <w:numId w:val="1"/>
        </w:numPr>
        <w:spacing w:after="60"/>
      </w:pPr>
      <w:r>
        <w:t xml:space="preserve">A post-incident review was held and its actions have owners and due dates.</w:t>
      </w:r>
    </w:p>
    <w:p>
      <w:pPr>
        <w:spacing w:after="120"/>
      </w:pPr>
    </w:p>
    <w:p>
      <w:pPr>
        <w:pStyle w:val="Heading1"/>
        <w:keepNext/>
      </w:pPr>
      <w:r>
        <w:t xml:space="preserve">7. Records</w:t>
      </w:r>
    </w:p>
    <w:p>
      <w:pPr>
        <w:pStyle w:val="ListParagraph"/>
        <w:numPr>
          <w:ilvl w:val="0"/>
          <w:numId w:val="1"/>
        </w:numPr>
        <w:spacing w:after="60"/>
      </w:pPr>
      <w:r>
        <w:t xml:space="preserve">Incident ticket with severity and final status</w:t>
      </w:r>
    </w:p>
    <w:p>
      <w:pPr>
        <w:pStyle w:val="ListParagraph"/>
        <w:numPr>
          <w:ilvl w:val="0"/>
          <w:numId w:val="1"/>
        </w:numPr>
        <w:spacing w:after="60"/>
      </w:pPr>
      <w:r>
        <w:t xml:space="preserve">Timestamped incident timeline</w:t>
      </w:r>
    </w:p>
    <w:p>
      <w:pPr>
        <w:pStyle w:val="ListParagraph"/>
        <w:numPr>
          <w:ilvl w:val="0"/>
          <w:numId w:val="1"/>
        </w:numPr>
        <w:spacing w:after="60"/>
      </w:pPr>
      <w:r>
        <w:t xml:space="preserve">Evidence collection log</w:t>
      </w:r>
    </w:p>
    <w:p>
      <w:pPr>
        <w:pStyle w:val="ListParagraph"/>
        <w:numPr>
          <w:ilvl w:val="0"/>
          <w:numId w:val="1"/>
        </w:numPr>
        <w:spacing w:after="60"/>
      </w:pPr>
      <w:r>
        <w:t xml:space="preserve">Client communication log</w:t>
      </w:r>
    </w:p>
    <w:p>
      <w:pPr>
        <w:pStyle w:val="ListParagraph"/>
        <w:numPr>
          <w:ilvl w:val="0"/>
          <w:numId w:val="1"/>
        </w:numPr>
        <w:spacing w:after="60"/>
      </w:pPr>
      <w:r>
        <w:t xml:space="preserve">Post-incident review report and actions</w:t>
      </w:r>
    </w:p>
    <w:p>
      <w:pPr>
        <w:spacing w:after="120"/>
      </w:pPr>
    </w:p>
    <w:p>
      <w:pPr>
        <w:pStyle w:val="Heading1"/>
        <w:keepNext/>
      </w:pPr>
      <w:r>
        <w:t xml:space="preserve">8. KPIs</w:t>
      </w:r>
    </w:p>
    <w:p>
      <w:pPr>
        <w:pStyle w:val="ListParagraph"/>
        <w:numPr>
          <w:ilvl w:val="0"/>
          <w:numId w:val="1"/>
        </w:numPr>
        <w:spacing w:after="60"/>
      </w:pPr>
      <w:r>
        <w:t xml:space="preserve">Mean time from alert to containment</w:t>
      </w:r>
    </w:p>
    <w:p>
      <w:pPr>
        <w:pStyle w:val="ListParagraph"/>
        <w:numPr>
          <w:ilvl w:val="0"/>
          <w:numId w:val="1"/>
        </w:numPr>
        <w:spacing w:after="60"/>
      </w:pPr>
      <w:r>
        <w:t xml:space="preserve">Mean time to recover affected systems</w:t>
      </w:r>
    </w:p>
    <w:p>
      <w:pPr>
        <w:pStyle w:val="ListParagraph"/>
        <w:numPr>
          <w:ilvl w:val="0"/>
          <w:numId w:val="1"/>
        </w:numPr>
        <w:spacing w:after="60"/>
      </w:pPr>
      <w:r>
        <w:t xml:space="preserve">Percentage of incidents with a completed post-incident review</w:t>
      </w:r>
    </w:p>
    <w:p>
      <w:pPr>
        <w:pStyle w:val="ListParagraph"/>
        <w:numPr>
          <w:ilvl w:val="0"/>
          <w:numId w:val="1"/>
        </w:numPr>
        <w:spacing w:after="60"/>
      </w:pPr>
      <w:r>
        <w:t xml:space="preserve">Number of incidents that spread beyond the first device or client</w:t>
      </w:r>
    </w:p>
    <w:p>
      <w:pPr>
        <w:spacing w:after="120"/>
      </w:pPr>
    </w:p>
    <w:p>
      <w:pPr>
        <w:pStyle w:val="Heading1"/>
        <w:keepNext/>
      </w:pPr>
      <w:r>
        <w:t xml:space="preserve">9. Common mistakes</w:t>
      </w:r>
    </w:p>
    <w:p>
      <w:pPr>
        <w:pStyle w:val="ListParagraph"/>
        <w:numPr>
          <w:ilvl w:val="0"/>
          <w:numId w:val="1"/>
        </w:numPr>
        <w:spacing w:after="60"/>
      </w:pPr>
      <w:r>
        <w:t xml:space="preserve">Rebuilding infected machines before collecting evidence.</w:t>
      </w:r>
    </w:p>
    <w:p>
      <w:pPr>
        <w:pStyle w:val="ListParagraph"/>
        <w:numPr>
          <w:ilvl w:val="0"/>
          <w:numId w:val="1"/>
        </w:numPr>
        <w:spacing w:after="60"/>
      </w:pPr>
      <w:r>
        <w:t xml:space="preserve">Fixing the affected client without checking every other client for the same threat.</w:t>
      </w:r>
    </w:p>
    <w:p>
      <w:pPr>
        <w:pStyle w:val="ListParagraph"/>
        <w:numPr>
          <w:ilvl w:val="0"/>
          <w:numId w:val="1"/>
        </w:numPr>
        <w:spacing w:after="60"/>
      </w:pPr>
      <w:r>
        <w:t xml:space="preserve">Going quiet with the client while engineers work the problem.</w:t>
      </w:r>
    </w:p>
    <w:p>
      <w:pPr>
        <w:pStyle w:val="ListParagraph"/>
        <w:numPr>
          <w:ilvl w:val="0"/>
          <w:numId w:val="1"/>
        </w:numPr>
        <w:spacing w:after="60"/>
      </w:pPr>
      <w:r>
        <w:t xml:space="preserve">Making legal or regulatory notification decisions on the client’s behalf.</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gay_uhzcdnbbiwibndjon">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qavtxtgsd3ifb8vs6mhsn">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SOP-MSP-004  |  MSP Incident Response Runbook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gay_uhzcdnbbiwibndjon" Type="http://schemas.openxmlformats.org/officeDocument/2006/relationships/hyperlink" Target="https://app.perfectwiki.xyz/demo?source=sop_template&amp;template=pw0KXu0Dsa2aOnNDvoQbvx0"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vtxtgsd3ifb8vs6mhsn" Type="http://schemas.openxmlformats.org/officeDocument/2006/relationships/hyperlink" Target="https://perfectwikiforteams.com/sop-templates/msp/incident-response-runbook/?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Incident Response Runbook SOP</dc:title>
  <dc:creator>Perfect Wiki</dc:creator>
  <dc:description>MSP Incident Response Runbook SOP template</dc:description>
  <cp:lastModifiedBy>Un-named</cp:lastModifiedBy>
  <cp:revision>1</cp:revision>
  <dcterms:created xsi:type="dcterms:W3CDTF">2026-10-15T11:23:33.530Z</dcterms:created>
  <dcterms:modified xsi:type="dcterms:W3CDTF">2026-10-15T11:23:33.530Z</dcterms:modified>
</cp:coreProperties>
</file>

<file path=docProps/custom.xml><?xml version="1.0" encoding="utf-8"?>
<Properties xmlns="http://schemas.openxmlformats.org/officeDocument/2006/custom-properties" xmlns:vt="http://schemas.openxmlformats.org/officeDocument/2006/docPropsVTypes"/>
</file>