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b/>
          <w:bCs/>
          <w:color w:val="D4005C"/>
          <w:spacing w:val="30"/>
          <w:sz w:val="16"/>
          <w:szCs w:val="16"/>
        </w:rPr>
        <w:t xml:space="preserve">STANDARD OPERATING PROCEDURE</w:t>
      </w:r>
    </w:p>
    <w:p>
      <w:pPr>
        <w:spacing w:after="240"/>
      </w:pPr>
      <w:r>
        <w:rPr>
          <w:b/>
          <w:bCs/>
          <w:color w:val="0E0820"/>
          <w:sz w:val="44"/>
          <w:szCs w:val="44"/>
        </w:rPr>
        <w:t xml:space="preserve">Non-Sterile Compounding SOP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800"/>
        <w:gridCol w:w="7280"/>
      </w:tblGrid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Document no.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SOP-PHA-007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Revision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1.0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Owner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Pharmacist in Charge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Effective date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September 15, 2026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Review cycle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Every 12 months</w:t>
            </w:r>
          </w:p>
        </w:tc>
      </w:tr>
    </w:tbl>
    <w:p>
      <w:pPr>
        <w:pStyle w:val="Heading1"/>
        <w:keepNext/>
      </w:pPr>
      <w:r>
        <w:t xml:space="preserve">1. Purpose</w:t>
      </w:r>
    </w:p>
    <w:p>
      <w:pPr>
        <w:spacing w:after="140"/>
      </w:pPr>
      <w:r>
        <w:t xml:space="preserve">To prepare non-sterile compounded medications accurately and consistently, with documented calculations, ingredient verification and pharmacist checks at each critical step.</w:t>
      </w:r>
    </w:p>
    <w:p>
      <w:pPr>
        <w:pStyle w:val="Heading1"/>
        <w:keepNext/>
      </w:pPr>
      <w:r>
        <w:t xml:space="preserve">2. Scope</w:t>
      </w:r>
    </w:p>
    <w:p>
      <w:pPr>
        <w:spacing w:after="140"/>
      </w:pPr>
      <w:r>
        <w:t xml:space="preserve">Applies to non-sterile compounds such as creams, ointments, oral suspensions and capsules prepared in the pharmacy. Sterile compounding requires a separate cleanroom procedure not covered here.</w:t>
      </w:r>
    </w:p>
    <w:p>
      <w:pPr>
        <w:pStyle w:val="Heading3"/>
        <w:keepNext/>
      </w:pPr>
      <w:r>
        <w:t xml:space="preserve">Definitions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800"/>
        <w:gridCol w:w="7280"/>
      </w:tblGrid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Master formulation record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The standardized recipe for a compound, listing ingredients, quantities, equipment and preparation steps.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Compounding record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The batch-specific document capturing the ingredients, lot numbers, calculations and checks used for one preparation.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Beyond-use date (BUD)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The date after which a compounded preparation should not be used, based on stability and ingredients.</w:t>
            </w: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3. Responsibilities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800"/>
        <w:gridCol w:w="7280"/>
      </w:tblGrid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Compounding Pharmacist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Calculates and verifies quantities, compounds or supervises compounding, and performs final verification.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Pharmacy Technician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Prepares the work area, weighs and measures ingredients, and compounds under pharmacist supervision.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Pharmacist in Charge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Approves master formulation records and reviews compounding logs periodically.</w:t>
            </w:r>
          </w:p>
        </w:tc>
      </w:tr>
    </w:tbl>
    <w:p>
      <w:pPr>
        <w:spacing w:after="120"/>
      </w:pPr>
    </w:p>
    <w:p>
      <w:pPr>
        <w:pStyle w:val="Heading3"/>
        <w:keepNext/>
      </w:pPr>
      <w:r>
        <w:t xml:space="preserve">RACI matrix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3400"/>
        <w:gridCol w:w="2226"/>
        <w:gridCol w:w="2226"/>
        <w:gridCol w:w="2226"/>
      </w:tblGrid>
      <w:tr>
        <w:trPr>
          <w:tblHeader/>
        </w:trPr>
        <w:tc>
          <w:tcPr>
            <w:tcW w:type="dxa" w:w="34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Activity</w:t>
            </w:r>
          </w:p>
        </w:tc>
        <w:tc>
          <w:tcPr>
            <w:tcW w:type="dxa" w:w="2226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Compounding Pharmacist</w:t>
            </w:r>
          </w:p>
        </w:tc>
        <w:tc>
          <w:tcPr>
            <w:tcW w:type="dxa" w:w="2226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Pharmacy Technician</w:t>
            </w:r>
          </w:p>
        </w:tc>
        <w:tc>
          <w:tcPr>
            <w:tcW w:type="dxa" w:w="2226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Pharmacist in Charge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Verify or create master formulation record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A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Calculate and double-check quantities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R/A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C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Weigh, measure and compound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A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-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Perform final verification against the record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R/A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-</w:t>
            </w:r>
          </w:p>
        </w:tc>
      </w:tr>
    </w:tbl>
    <w:p>
      <w:pPr>
        <w:spacing w:before="60"/>
      </w:pPr>
      <w:r>
        <w:rPr>
          <w:color w:val="6B5B80"/>
          <w:sz w:val="16"/>
          <w:szCs w:val="16"/>
        </w:rPr>
        <w:t xml:space="preserve">R = Responsible, A = Accountable, C = Consulted, I = Informed</w:t>
      </w:r>
    </w:p>
    <w:p>
      <w:pPr>
        <w:spacing w:after="120"/>
      </w:pPr>
    </w:p>
    <w:p>
      <w:pPr>
        <w:pStyle w:val="Heading1"/>
        <w:keepNext/>
      </w:pPr>
      <w:r>
        <w:t xml:space="preserve">4. Materials and PPE</w:t>
      </w:r>
    </w:p>
    <w:p>
      <w:pPr>
        <w:pStyle w:val="Heading3"/>
        <w:keepNext/>
      </w:pPr>
      <w:r>
        <w:t xml:space="preserve">Materials, tools and systems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Master formulation records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Calibrated balance and measuring devices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Compounding slab, mortar and pestle or mixing equipment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Certificates of analysis for active ingredients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Compounding batch record forms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Labels with beyond-use date fields</w:t>
      </w:r>
    </w:p>
    <w:p>
      <w:pPr>
        <w:spacing w:after="120"/>
      </w:pPr>
    </w:p>
    <w:p>
      <w:pPr>
        <w:pStyle w:val="Heading3"/>
        <w:keepNext/>
      </w:pPr>
      <w:r>
        <w:t xml:space="preserve">Personal protective equipment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Disposable nitrile gloves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Compounding gown or coat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Hair and shoe covers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Eye protection when handling irritant powders or liquids</w:t>
      </w:r>
    </w:p>
    <w:p>
      <w:pPr>
        <w:spacing w:after="120"/>
      </w:pPr>
    </w:p>
    <w:p>
      <w:pPr>
        <w:pStyle w:val="Heading1"/>
        <w:keepNext/>
      </w:pPr>
      <w:r>
        <w:t xml:space="preserve">5. Procedure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900"/>
        <w:gridCol w:w="6280"/>
        <w:gridCol w:w="2000"/>
        <w:gridCol w:w="900"/>
      </w:tblGrid>
      <w:tr>
        <w:trPr>
          <w:tblHeader/>
        </w:trPr>
        <w:tc>
          <w:tcPr>
            <w:tcW w:type="dxa" w:w="9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Step</w:t>
            </w:r>
          </w:p>
        </w:tc>
        <w:tc>
          <w:tcPr>
            <w:tcW w:type="dxa" w:w="628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Task</w:t>
            </w:r>
          </w:p>
        </w:tc>
        <w:tc>
          <w:tcPr>
            <w:tcW w:type="dxa" w:w="20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Owner</w:t>
            </w:r>
          </w:p>
        </w:tc>
        <w:tc>
          <w:tcPr>
            <w:tcW w:type="dxa" w:w="9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Done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Verify the compounding order</w:t>
            </w:r>
          </w:p>
          <w:p>
            <w:r>
              <w:t xml:space="preserve">Confirm the prescriber's order is complete and clinically appropriate, and check that a master formulation record exists or needs to be created.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Compounding Pharmacist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5.2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Confirm or create the master formulation record</w:t>
            </w:r>
          </w:p>
          <w:p>
            <w:r>
              <w:t xml:space="preserve">Use the existing master formulation record, or draft a new one listing ingredients, quantities, equipment, method and beyond-use date criteria for pharmacist approval.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Compounding Pharmacist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5.3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Verify ingredients before use</w:t>
            </w:r>
          </w:p>
          <w:p>
            <w:r>
              <w:t xml:space="preserve">Check each ingredient's identity, potency, expiration date and certificate of analysis against the formulation record before weighing.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Pharmacy Technician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5.4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Calculate quantities with a double-check</w:t>
            </w:r>
          </w:p>
          <w:p>
            <w:r>
              <w:t xml:space="preserve">Calculate the amount of each ingredient needed for the batch size, and have a second qualified person independently verify the calculation before weighing begins.</w:t>
            </w:r>
          </w:p>
          <w:p>
            <w:pPr>
              <w:spacing w:before="60"/>
            </w:pPr>
            <w:r>
              <w:rPr>
                <w:b/>
                <w:bCs/>
                <w:color w:val="9A5B00"/>
              </w:rPr>
              <w:t xml:space="preserve">Checkpoint: </w:t>
            </w:r>
            <w:r>
              <w:t xml:space="preserve">Quantity calculations are independently double-checked before any ingredient is weighed.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Compounding Pharmacist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5.5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Prepare the compounding area</w:t>
            </w:r>
          </w:p>
          <w:p>
            <w:r>
              <w:t xml:space="preserve">Clean and clear the compounding area of unrelated materials, and gather all equipment and ingredients needed for the batch before starting.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Pharmacy Technician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5.6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Don compounding garb</w:t>
            </w:r>
          </w:p>
          <w:p>
            <w:r>
              <w:t xml:space="preserve">Put on gown, gloves, hair and shoe covers, and eye protection as required for the ingredients being handled.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Pharmacy Technician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5.7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Weigh and measure ingredients</w:t>
            </w:r>
          </w:p>
          <w:p>
            <w:r>
              <w:t xml:space="preserve">Weigh or measure each ingredient on calibrated equipment, recording the actual weight or volume used on the compounding record.</w:t>
            </w:r>
          </w:p>
          <w:p>
            <w:pPr>
              <w:spacing w:before="60"/>
            </w:pPr>
            <w:r>
              <w:rPr>
                <w:b/>
                <w:bCs/>
                <w:color w:val="B42318"/>
              </w:rPr>
              <w:t xml:space="preserve">Warning: </w:t>
            </w:r>
            <w:r>
              <w:t xml:space="preserve">Never estimate a quantity; use a calibrated balance or graduate for every ingredient.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Pharmacy Technician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5.8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Compound per the formulation record</w:t>
            </w:r>
          </w:p>
          <w:p>
            <w:r>
              <w:t xml:space="preserve">Follow the mixing, trituration or dilution steps in the master formulation record in the order specified, without substituting technique.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Pharmacy Technician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5.9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Perform in-process checks</w:t>
            </w:r>
          </w:p>
          <w:p>
            <w:r>
              <w:t xml:space="preserve">Check in-process attributes specified by the record, such as weight, uniformity of appearance or pH, and document results on the compounding record.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Compounding Pharmacist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5.10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Package and label the preparation</w:t>
            </w:r>
          </w:p>
          <w:p>
            <w:r>
              <w:t xml:space="preserve">Package the finished compound and label it with the ingredients, strength, beyond-use date, storage conditions and any required auxiliary warnings.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Pharmacy Technician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5.11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Perform final pharmacist verification</w:t>
            </w:r>
          </w:p>
          <w:p>
            <w:r>
              <w:t xml:space="preserve">Compare the finished preparation, label and compounding record against the master formulation record before release to the patient.</w:t>
            </w:r>
          </w:p>
          <w:p>
            <w:pPr>
              <w:spacing w:before="60"/>
            </w:pPr>
            <w:r>
              <w:rPr>
                <w:b/>
                <w:bCs/>
                <w:color w:val="9A5B00"/>
              </w:rPr>
              <w:t xml:space="preserve">Checkpoint: </w:t>
            </w:r>
            <w:r>
              <w:t xml:space="preserve">Final verification confirms ingredients, calculations, appearance and label all match the formulation record.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Compounding Pharmacist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5.12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Clean up and file the batch record</w:t>
            </w:r>
          </w:p>
          <w:p>
            <w:r>
              <w:t xml:space="preserve">Clean equipment and the compounding area per the equipment's cleaning instructions, and file the completed batch record with the master formulation record.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Pharmacy Technician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6. Quality checks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Every batch has an independently double-checked calculation on file.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Ingredient certificates of analysis are verified before use.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Final verification against the master formulation record is documented for every batch.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Labels show a beyond-use date consistent with the formulation record.</w:t>
      </w:r>
    </w:p>
    <w:p>
      <w:pPr>
        <w:spacing w:after="120"/>
      </w:pPr>
    </w:p>
    <w:p>
      <w:pPr>
        <w:pStyle w:val="Heading1"/>
        <w:keepNext/>
      </w:pPr>
      <w:r>
        <w:t xml:space="preserve">7. Records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Master formulation records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Compounding batch records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Certificates of analysis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Final verification sign-offs</w:t>
      </w:r>
    </w:p>
    <w:p>
      <w:pPr>
        <w:spacing w:after="120"/>
      </w:pPr>
    </w:p>
    <w:p>
      <w:pPr>
        <w:pStyle w:val="Heading1"/>
        <w:keepNext/>
      </w:pPr>
      <w:r>
        <w:t xml:space="preserve">8. KPIs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Percentage of batches with a completed double-check before weighing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Number of compounding errors caught at final verification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Average batch preparation time by preparation type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Number of master formulation records reviewed per year</w:t>
      </w:r>
    </w:p>
    <w:p>
      <w:pPr>
        <w:spacing w:after="120"/>
      </w:pPr>
    </w:p>
    <w:p>
      <w:pPr>
        <w:pStyle w:val="Heading1"/>
        <w:keepNext/>
      </w:pPr>
      <w:r>
        <w:t xml:space="preserve">9. Common mistakes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Weighing ingredients before the calculation double-check is complete.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Skipping the certificate of analysis check on a familiar ingredient.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Compounding from memory instead of following the master formulation record step by step.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Labeling with an estimated beyond-use date instead of one supported by the formulation record.</w:t>
      </w:r>
    </w:p>
    <w:p>
      <w:pPr>
        <w:spacing w:after="120"/>
      </w:pPr>
    </w:p>
    <w:p>
      <w:pPr>
        <w:pStyle w:val="Heading1"/>
        <w:keepNext/>
      </w:pPr>
      <w:r>
        <w:t xml:space="preserve">10. Revision history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520"/>
        <w:gridCol w:w="2520"/>
        <w:gridCol w:w="2520"/>
        <w:gridCol w:w="2520"/>
      </w:tblGrid>
      <w:tr>
        <w:trPr>
          <w:tblHeader/>
        </w:trPr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Revision</w:t>
            </w:r>
          </w:p>
        </w:tc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Date</w:t>
            </w:r>
          </w:p>
        </w:tc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Description</w:t>
            </w:r>
          </w:p>
        </w:tc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Reviewed by</w:t>
            </w:r>
          </w:p>
        </w:tc>
      </w:tr>
      <w:tr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1.0</w:t>
            </w:r>
          </w:p>
        </w:tc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September 15, 2026</w:t>
            </w:r>
          </w:p>
        </w:tc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Initial release</w:t>
            </w:r>
          </w:p>
        </w:tc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Ilia Pirozhenko</w:t>
            </w: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Approval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3360"/>
        <w:gridCol w:w="3360"/>
        <w:gridCol w:w="3360"/>
      </w:tblGrid>
      <w:tr>
        <w:trPr>
          <w:tblHeader/>
        </w:trPr>
        <w:tc>
          <w:tcPr>
            <w:tcW w:type="dxa" w:w="336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Prepared by</w:t>
            </w:r>
          </w:p>
        </w:tc>
        <w:tc>
          <w:tcPr>
            <w:tcW w:type="dxa" w:w="336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Approved by</w:t>
            </w:r>
          </w:p>
        </w:tc>
        <w:tc>
          <w:tcPr>
            <w:tcW w:type="dxa" w:w="336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Date</w:t>
            </w:r>
          </w:p>
        </w:tc>
      </w:tr>
      <w:tr>
        <w:trPr>
          <w:trHeight w:val="800" w:hRule="atLeast"/>
        </w:trPr>
        <w:tc>
          <w:tcPr>
            <w:tcW w:type="dxa" w:w="336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/>
            </w:r>
          </w:p>
        </w:tc>
        <w:tc>
          <w:tcPr>
            <w:tcW w:type="dxa" w:w="336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/>
            </w:r>
          </w:p>
        </w:tc>
        <w:tc>
          <w:tcPr>
            <w:tcW w:type="dxa" w:w="336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/>
            </w:r>
          </w:p>
        </w:tc>
      </w:tr>
    </w:tbl>
    <w:p>
      <w:pPr>
        <w:spacing w:after="120"/>
      </w:pPr>
    </w:p>
    <w:p>
      <w:pPr>
        <w:spacing w:after="200"/>
      </w:pPr>
      <w:r>
        <w:rPr>
          <w:i/>
          <w:iCs/>
          <w:color w:val="6B5B80"/>
          <w:sz w:val="16"/>
          <w:szCs w:val="16"/>
        </w:rPr>
        <w:t xml:space="preserve">This is a template. Adapt it to your organization, equipment and local regulations before use.</w:t>
      </w:r>
    </w:p>
    <w:p>
      <w:r>
        <w:rPr>
          <w:b/>
          <w:bCs/>
          <w:color w:val="0E0820"/>
        </w:rPr>
        <w:t xml:space="preserve">Keep this SOP up to date. </w:t>
      </w:r>
      <w:r>
        <w:t xml:space="preserve">Add it to Perfect Wiki so your team can find it and ask questions about it in Microsoft Teams, Slack, kChat or Mattermost: </w:t>
      </w:r>
      <w:hyperlink w:history="1" r:id="rIdi40m33o-yj6f5qz81scj0">
        <w:r>
          <w:rPr>
            <w:color w:val="D4005C"/>
            <w:u w:val="single"/>
          </w:rPr>
          <w:t xml:space="preserve">Add to Perfect Wiki</w:t>
        </w:r>
      </w:hyperlink>
    </w:p>
    <w:sectPr>
      <w:headerReference w:type="default" r:id="rId6"/>
      <w:footerReference w:type="default" r:id="rId7"/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drawing>
        <wp:inline distT="0" distB="0" distL="0" distR="0">
          <wp:extent cx="114300" cy="114300"/>
          <wp:effectExtent t="0" r="0" b="0" l="0"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300" cy="1143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color w:val="6B5B80"/>
        <w:sz w:val="16"/>
        <w:szCs w:val="16"/>
      </w:rPr>
      <w:t xml:space="preserve">  Free SOP template by </w:t>
    </w:r>
    <w:hyperlink w:history="1" r:id="rIdzahhuauvjdm54ozamfrmp">
      <w:r>
        <w:rPr>
          <w:color w:val="D4005C"/>
          <w:sz w:val="16"/>
          <w:szCs w:val="16"/>
          <w:u w:val="single"/>
        </w:rPr>
        <w:t xml:space="preserve">Perfect Wiki</w:t>
      </w:r>
    </w:hyperlink>
    <w:r>
      <w:rPr>
        <w:color w:val="6B5B80"/>
        <w:sz w:val="16"/>
        <w:szCs w:val="16"/>
      </w:rPr>
      <w:t xml:space="preserve">    |    Page </w:t>
    </w:r>
    <w:r>
      <w:rPr>
        <w:color w:val="6B5B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5B80"/>
        <w:sz w:val="16"/>
        <w:szCs w:val="16"/>
      </w:rPr>
      <w:t xml:space="preserve"> of </w:t>
    </w:r>
    <w:r>
      <w:rPr>
        <w:color w:val="6B5B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color w:val="6B5B80"/>
        <w:sz w:val="16"/>
        <w:szCs w:val="16"/>
      </w:rPr>
      <w:t xml:space="preserve">SOP-PHA-007  |  Non-Sterile Compounding SOP  |  Rev 1.0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2D1F3D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before="360" w:after="120"/>
    </w:pPr>
    <w:rPr>
      <w:rFonts w:ascii="Calibri" w:cs="Calibri" w:eastAsia="Calibri" w:hAnsi="Calibri"/>
      <w:b/>
      <w:bCs/>
      <w:color w:val="0E0820"/>
      <w:sz w:val="30"/>
      <w:szCs w:val="30"/>
    </w:rPr>
  </w:style>
  <w:style w:type="paragraph" w:styleId="Heading3">
    <w:name w:val="Heading 3"/>
    <w:basedOn w:val="Normal"/>
    <w:next w:val="Normal"/>
    <w:qFormat/>
    <w:pPr>
      <w:spacing w:before="160" w:after="80"/>
    </w:pPr>
    <w:rPr>
      <w:rFonts w:ascii="Calibri" w:cs="Calibri" w:eastAsia="Calibri" w:hAnsi="Calibri"/>
      <w:b/>
      <w:bCs/>
      <w:color w:val="0E0820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i40m33o-yj6f5qz81scj0" Type="http://schemas.openxmlformats.org/officeDocument/2006/relationships/hyperlink" Target="https://app.perfectwiki.xyz/demo?source=sop_template&amp;template=pwDUS5SJpjWL6os0FomITXZ" TargetMode="External"/><Relationship Id="rId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ahhuauvjdm54ozamfrmp" Type="http://schemas.openxmlformats.org/officeDocument/2006/relationships/hyperlink" Target="https://perfectwikiforteams.com/sop-templates/pharmacy/non-sterile-compounding/?ref=docx" TargetMode="External"/><Relationship Id="rId0" Type="http://schemas.openxmlformats.org/officeDocument/2006/relationships/image" Target="media/4faad5d116a56847d53c1af233efb4a0f8231e94.png"/></Relationships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Non-Sterile Compounding SOP</dc:title>
  <dc:creator>Perfect Wiki</dc:creator>
  <dc:description>Non-Sterile Compounding SOP template</dc:description>
  <cp:lastModifiedBy>Un-named</cp:lastModifiedBy>
  <cp:revision>1</cp:revision>
  <dcterms:created xsi:type="dcterms:W3CDTF">2026-09-21T13:15:37.596Z</dcterms:created>
  <dcterms:modified xsi:type="dcterms:W3CDTF">2026-09-21T13:15:37.596Z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