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D4005C"/>
          <w:spacing w:val="30"/>
          <w:sz w:val="16"/>
          <w:szCs w:val="16"/>
        </w:rPr>
        <w:t xml:space="preserve">STANDARD OPERATING PROCEDURE</w:t>
      </w:r>
    </w:p>
    <w:p>
      <w:pPr>
        <w:spacing w:after="240"/>
      </w:pPr>
      <w:r>
        <w:rPr>
          <w:b/>
          <w:bCs/>
          <w:color w:val="0E0820"/>
          <w:sz w:val="44"/>
          <w:szCs w:val="44"/>
        </w:rPr>
        <w:t xml:space="preserve">Hair Color Service SOP</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Document no.</w:t>
            </w:r>
          </w:p>
        </w:tc>
        <w:tc>
          <w:tcPr>
            <w:tcW w:type="dxa" w:w="7280"/>
            <w:tcMar>
              <w:top w:type="dxa" w:w="70"/>
              <w:left w:type="dxa" w:w="110"/>
              <w:bottom w:type="dxa" w:w="70"/>
              <w:right w:type="dxa" w:w="110"/>
            </w:tcMar>
          </w:tcPr>
          <w:p>
            <w:r>
              <w:t xml:space="preserve">SOP-SAL-004</w:t>
            </w:r>
          </w:p>
        </w:tc>
      </w:tr>
      <w:tr>
        <w:tc>
          <w:tcPr>
            <w:tcW w:type="dxa" w:w="2800"/>
            <w:shd w:fill="FFFAF2" w:color="auto" w:val="clear"/>
            <w:tcMar>
              <w:top w:type="dxa" w:w="70"/>
              <w:left w:type="dxa" w:w="110"/>
              <w:bottom w:type="dxa" w:w="70"/>
              <w:right w:type="dxa" w:w="110"/>
            </w:tcMar>
          </w:tcPr>
          <w:p>
            <w:r>
              <w:rPr>
                <w:b/>
                <w:bCs/>
              </w:rPr>
              <w:t xml:space="preserve">Revision</w:t>
            </w:r>
          </w:p>
        </w:tc>
        <w:tc>
          <w:tcPr>
            <w:tcW w:type="dxa" w:w="7280"/>
            <w:tcMar>
              <w:top w:type="dxa" w:w="70"/>
              <w:left w:type="dxa" w:w="110"/>
              <w:bottom w:type="dxa" w:w="70"/>
              <w:right w:type="dxa" w:w="110"/>
            </w:tcMar>
          </w:tcPr>
          <w:p>
            <w:r>
              <w:t xml:space="preserve">1.0</w:t>
            </w:r>
          </w:p>
        </w:tc>
      </w:tr>
      <w:tr>
        <w:tc>
          <w:tcPr>
            <w:tcW w:type="dxa" w:w="2800"/>
            <w:shd w:fill="FFFAF2" w:color="auto" w:val="clear"/>
            <w:tcMar>
              <w:top w:type="dxa" w:w="70"/>
              <w:left w:type="dxa" w:w="110"/>
              <w:bottom w:type="dxa" w:w="70"/>
              <w:right w:type="dxa" w:w="110"/>
            </w:tcMar>
          </w:tcPr>
          <w:p>
            <w:r>
              <w:rPr>
                <w:b/>
                <w:bCs/>
              </w:rPr>
              <w:t xml:space="preserve">Owner</w:t>
            </w:r>
          </w:p>
        </w:tc>
        <w:tc>
          <w:tcPr>
            <w:tcW w:type="dxa" w:w="7280"/>
            <w:tcMar>
              <w:top w:type="dxa" w:w="70"/>
              <w:left w:type="dxa" w:w="110"/>
              <w:bottom w:type="dxa" w:w="70"/>
              <w:right w:type="dxa" w:w="110"/>
            </w:tcMar>
          </w:tcPr>
          <w:p>
            <w:r>
              <w:t xml:space="preserve">Salon Manager</w:t>
            </w:r>
          </w:p>
        </w:tc>
      </w:tr>
      <w:tr>
        <w:tc>
          <w:tcPr>
            <w:tcW w:type="dxa" w:w="2800"/>
            <w:shd w:fill="FFFAF2" w:color="auto" w:val="clear"/>
            <w:tcMar>
              <w:top w:type="dxa" w:w="70"/>
              <w:left w:type="dxa" w:w="110"/>
              <w:bottom w:type="dxa" w:w="70"/>
              <w:right w:type="dxa" w:w="110"/>
            </w:tcMar>
          </w:tcPr>
          <w:p>
            <w:r>
              <w:rPr>
                <w:b/>
                <w:bCs/>
              </w:rPr>
              <w:t xml:space="preserve">Effective date</w:t>
            </w:r>
          </w:p>
        </w:tc>
        <w:tc>
          <w:tcPr>
            <w:tcW w:type="dxa" w:w="7280"/>
            <w:tcMar>
              <w:top w:type="dxa" w:w="70"/>
              <w:left w:type="dxa" w:w="110"/>
              <w:bottom w:type="dxa" w:w="70"/>
              <w:right w:type="dxa" w:w="110"/>
            </w:tcMar>
          </w:tcPr>
          <w:p>
            <w:r>
              <w:t xml:space="preserve">September 15, 2026</w:t>
            </w:r>
          </w:p>
        </w:tc>
      </w:tr>
      <w:tr>
        <w:tc>
          <w:tcPr>
            <w:tcW w:type="dxa" w:w="2800"/>
            <w:shd w:fill="FFFAF2" w:color="auto" w:val="clear"/>
            <w:tcMar>
              <w:top w:type="dxa" w:w="70"/>
              <w:left w:type="dxa" w:w="110"/>
              <w:bottom w:type="dxa" w:w="70"/>
              <w:right w:type="dxa" w:w="110"/>
            </w:tcMar>
          </w:tcPr>
          <w:p>
            <w:r>
              <w:rPr>
                <w:b/>
                <w:bCs/>
              </w:rPr>
              <w:t xml:space="preserve">Review cycle</w:t>
            </w:r>
          </w:p>
        </w:tc>
        <w:tc>
          <w:tcPr>
            <w:tcW w:type="dxa" w:w="7280"/>
            <w:tcMar>
              <w:top w:type="dxa" w:w="70"/>
              <w:left w:type="dxa" w:w="110"/>
              <w:bottom w:type="dxa" w:w="70"/>
              <w:right w:type="dxa" w:w="110"/>
            </w:tcMar>
          </w:tcPr>
          <w:p>
            <w:r>
              <w:t xml:space="preserve">Every 12 months</w:t>
            </w:r>
          </w:p>
        </w:tc>
      </w:tr>
    </w:tbl>
    <w:p>
      <w:pPr>
        <w:pStyle w:val="Heading1"/>
        <w:keepNext/>
      </w:pPr>
      <w:r>
        <w:t xml:space="preserve">1. Purpose</w:t>
      </w:r>
    </w:p>
    <w:p>
      <w:pPr>
        <w:spacing w:after="140"/>
      </w:pPr>
      <w:r>
        <w:t xml:space="preserve">To make sure every hair color service is preceded by an allergy check, applied with the correct formula and timing, and finished with aftercare guidance, protecting both the client and the colorist.</w:t>
      </w:r>
    </w:p>
    <w:p>
      <w:pPr>
        <w:pStyle w:val="Heading1"/>
        <w:keepNext/>
      </w:pPr>
      <w:r>
        <w:t xml:space="preserve">2. Scope</w:t>
      </w:r>
    </w:p>
    <w:p>
      <w:pPr>
        <w:spacing w:after="140"/>
      </w:pPr>
      <w:r>
        <w:t xml:space="preserve">Applies to permanent, demi-permanent and semi-permanent hair color services. General consultation steps are covered by a separate SOP.</w:t>
      </w:r>
    </w:p>
    <w:p>
      <w:pPr>
        <w:pStyle w:val="Heading3"/>
        <w:keepNext/>
      </w:pPr>
      <w:r>
        <w:t xml:space="preserve">Definitions</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Patch test</w:t>
            </w:r>
          </w:p>
        </w:tc>
        <w:tc>
          <w:tcPr>
            <w:tcW w:type="dxa" w:w="7280"/>
            <w:tcMar>
              <w:top w:type="dxa" w:w="70"/>
              <w:left w:type="dxa" w:w="110"/>
              <w:bottom w:type="dxa" w:w="70"/>
              <w:right w:type="dxa" w:w="110"/>
            </w:tcMar>
          </w:tcPr>
          <w:p>
            <w:r>
              <w:t xml:space="preserve">A small application of the color product to the skin, done in advance per the manufacturer's instructions, to check for an allergic reaction.</w:t>
            </w:r>
          </w:p>
        </w:tc>
      </w:tr>
      <w:tr>
        <w:tc>
          <w:tcPr>
            <w:tcW w:type="dxa" w:w="2800"/>
            <w:shd w:fill="FFFAF2" w:color="auto" w:val="clear"/>
            <w:tcMar>
              <w:top w:type="dxa" w:w="70"/>
              <w:left w:type="dxa" w:w="110"/>
              <w:bottom w:type="dxa" w:w="70"/>
              <w:right w:type="dxa" w:w="110"/>
            </w:tcMar>
          </w:tcPr>
          <w:p>
            <w:r>
              <w:rPr>
                <w:b/>
                <w:bCs/>
              </w:rPr>
              <w:t xml:space="preserve">Strand test</w:t>
            </w:r>
          </w:p>
        </w:tc>
        <w:tc>
          <w:tcPr>
            <w:tcW w:type="dxa" w:w="7280"/>
            <w:tcMar>
              <w:top w:type="dxa" w:w="70"/>
              <w:left w:type="dxa" w:w="110"/>
              <w:bottom w:type="dxa" w:w="70"/>
              <w:right w:type="dxa" w:w="110"/>
            </w:tcMar>
          </w:tcPr>
          <w:p>
            <w:r>
              <w:t xml:space="preserve">A test application of the mixed formula to a small section of hair to preview color result and processing time.</w:t>
            </w:r>
          </w:p>
        </w:tc>
      </w:tr>
      <w:tr>
        <w:tc>
          <w:tcPr>
            <w:tcW w:type="dxa" w:w="2800"/>
            <w:shd w:fill="FFFAF2" w:color="auto" w:val="clear"/>
            <w:tcMar>
              <w:top w:type="dxa" w:w="70"/>
              <w:left w:type="dxa" w:w="110"/>
              <w:bottom w:type="dxa" w:w="70"/>
              <w:right w:type="dxa" w:w="110"/>
            </w:tcMar>
          </w:tcPr>
          <w:p>
            <w:r>
              <w:rPr>
                <w:b/>
                <w:bCs/>
              </w:rPr>
              <w:t xml:space="preserve">Processing time</w:t>
            </w:r>
          </w:p>
        </w:tc>
        <w:tc>
          <w:tcPr>
            <w:tcW w:type="dxa" w:w="7280"/>
            <w:tcMar>
              <w:top w:type="dxa" w:w="70"/>
              <w:left w:type="dxa" w:w="110"/>
              <w:bottom w:type="dxa" w:w="70"/>
              <w:right w:type="dxa" w:w="110"/>
            </w:tcMar>
          </w:tcPr>
          <w:p>
            <w:r>
              <w:t xml:space="preserve">The time the color formula needs to stay on the hair to develop, set by the manufacturer's instructions.</w:t>
            </w:r>
          </w:p>
        </w:tc>
      </w:tr>
    </w:tbl>
    <w:p>
      <w:pPr>
        <w:spacing w:after="120"/>
      </w:pPr>
    </w:p>
    <w:p>
      <w:pPr>
        <w:pStyle w:val="Heading1"/>
        <w:keepNext/>
      </w:pPr>
      <w:r>
        <w:t xml:space="preserve">3. Responsibilities</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Colorist</w:t>
            </w:r>
          </w:p>
        </w:tc>
        <w:tc>
          <w:tcPr>
            <w:tcW w:type="dxa" w:w="7280"/>
            <w:tcMar>
              <w:top w:type="dxa" w:w="70"/>
              <w:left w:type="dxa" w:w="110"/>
              <w:bottom w:type="dxa" w:w="70"/>
              <w:right w:type="dxa" w:w="110"/>
            </w:tcMar>
          </w:tcPr>
          <w:p>
            <w:r>
              <w:t xml:space="preserve">Confirms the patch test, mixes and applies the formula, monitors processing, and gives aftercare guidance.</w:t>
            </w:r>
          </w:p>
        </w:tc>
      </w:tr>
      <w:tr>
        <w:tc>
          <w:tcPr>
            <w:tcW w:type="dxa" w:w="2800"/>
            <w:shd w:fill="FFFAF2" w:color="auto" w:val="clear"/>
            <w:tcMar>
              <w:top w:type="dxa" w:w="70"/>
              <w:left w:type="dxa" w:w="110"/>
              <w:bottom w:type="dxa" w:w="70"/>
              <w:right w:type="dxa" w:w="110"/>
            </w:tcMar>
          </w:tcPr>
          <w:p>
            <w:r>
              <w:rPr>
                <w:b/>
                <w:bCs/>
              </w:rPr>
              <w:t xml:space="preserve">Front Desk Coordinator</w:t>
            </w:r>
          </w:p>
        </w:tc>
        <w:tc>
          <w:tcPr>
            <w:tcW w:type="dxa" w:w="7280"/>
            <w:tcMar>
              <w:top w:type="dxa" w:w="70"/>
              <w:left w:type="dxa" w:w="110"/>
              <w:bottom w:type="dxa" w:w="70"/>
              <w:right w:type="dxa" w:w="110"/>
            </w:tcMar>
          </w:tcPr>
          <w:p>
            <w:r>
              <w:t xml:space="preserve">Schedules the patch test appointment and confirms it is on file before the color service is booked.</w:t>
            </w:r>
          </w:p>
        </w:tc>
      </w:tr>
      <w:tr>
        <w:tc>
          <w:tcPr>
            <w:tcW w:type="dxa" w:w="2800"/>
            <w:shd w:fill="FFFAF2" w:color="auto" w:val="clear"/>
            <w:tcMar>
              <w:top w:type="dxa" w:w="70"/>
              <w:left w:type="dxa" w:w="110"/>
              <w:bottom w:type="dxa" w:w="70"/>
              <w:right w:type="dxa" w:w="110"/>
            </w:tcMar>
          </w:tcPr>
          <w:p>
            <w:r>
              <w:rPr>
                <w:b/>
                <w:bCs/>
              </w:rPr>
              <w:t xml:space="preserve">Salon Manager</w:t>
            </w:r>
          </w:p>
        </w:tc>
        <w:tc>
          <w:tcPr>
            <w:tcW w:type="dxa" w:w="7280"/>
            <w:tcMar>
              <w:top w:type="dxa" w:w="70"/>
              <w:left w:type="dxa" w:w="110"/>
              <w:bottom w:type="dxa" w:w="70"/>
              <w:right w:type="dxa" w:w="110"/>
            </w:tcMar>
          </w:tcPr>
          <w:p>
            <w:r>
              <w:t xml:space="preserve">Reviews any adverse reaction, approves formula changes for sensitive clients, and manages chemical waste disposal.</w:t>
            </w:r>
          </w:p>
        </w:tc>
      </w:tr>
    </w:tbl>
    <w:p>
      <w:pPr>
        <w:spacing w:after="120"/>
      </w:pPr>
    </w:p>
    <w:p>
      <w:pPr>
        <w:pStyle w:val="Heading3"/>
        <w:keepNext/>
      </w:pPr>
      <w:r>
        <w:t xml:space="preserve">RACI matrix</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3400"/>
        <w:gridCol w:w="2226"/>
        <w:gridCol w:w="2226"/>
        <w:gridCol w:w="2226"/>
      </w:tblGrid>
      <w:tr>
        <w:trPr>
          <w:tblHeader/>
        </w:trPr>
        <w:tc>
          <w:tcPr>
            <w:tcW w:type="dxa" w:w="3400"/>
            <w:shd w:fill="0E0820" w:color="auto" w:val="clear"/>
            <w:tcMar>
              <w:top w:type="dxa" w:w="70"/>
              <w:left w:type="dxa" w:w="110"/>
              <w:bottom w:type="dxa" w:w="70"/>
              <w:right w:type="dxa" w:w="110"/>
            </w:tcMar>
          </w:tcPr>
          <w:p>
            <w:r>
              <w:rPr>
                <w:b/>
                <w:bCs/>
                <w:color w:val="FFFFFF"/>
              </w:rPr>
              <w:t xml:space="preserve">Activity</w:t>
            </w:r>
          </w:p>
        </w:tc>
        <w:tc>
          <w:tcPr>
            <w:tcW w:type="dxa" w:w="2226"/>
            <w:shd w:fill="0E0820" w:color="auto" w:val="clear"/>
            <w:tcMar>
              <w:top w:type="dxa" w:w="70"/>
              <w:left w:type="dxa" w:w="110"/>
              <w:bottom w:type="dxa" w:w="70"/>
              <w:right w:type="dxa" w:w="110"/>
            </w:tcMar>
          </w:tcPr>
          <w:p>
            <w:r>
              <w:rPr>
                <w:b/>
                <w:bCs/>
                <w:color w:val="FFFFFF"/>
              </w:rPr>
              <w:t xml:space="preserve">Colorist</w:t>
            </w:r>
          </w:p>
        </w:tc>
        <w:tc>
          <w:tcPr>
            <w:tcW w:type="dxa" w:w="2226"/>
            <w:shd w:fill="0E0820" w:color="auto" w:val="clear"/>
            <w:tcMar>
              <w:top w:type="dxa" w:w="70"/>
              <w:left w:type="dxa" w:w="110"/>
              <w:bottom w:type="dxa" w:w="70"/>
              <w:right w:type="dxa" w:w="110"/>
            </w:tcMar>
          </w:tcPr>
          <w:p>
            <w:r>
              <w:rPr>
                <w:b/>
                <w:bCs/>
                <w:color w:val="FFFFFF"/>
              </w:rPr>
              <w:t xml:space="preserve">Front Desk Coordinator</w:t>
            </w:r>
          </w:p>
        </w:tc>
        <w:tc>
          <w:tcPr>
            <w:tcW w:type="dxa" w:w="2226"/>
            <w:shd w:fill="0E0820" w:color="auto" w:val="clear"/>
            <w:tcMar>
              <w:top w:type="dxa" w:w="70"/>
              <w:left w:type="dxa" w:w="110"/>
              <w:bottom w:type="dxa" w:w="70"/>
              <w:right w:type="dxa" w:w="110"/>
            </w:tcMar>
          </w:tcPr>
          <w:p>
            <w:r>
              <w:rPr>
                <w:b/>
                <w:bCs/>
                <w:color w:val="FFFFFF"/>
              </w:rPr>
              <w:t xml:space="preserve">Salon Manager</w:t>
            </w:r>
          </w:p>
        </w:tc>
      </w:tr>
      <w:tr>
        <w:tc>
          <w:tcPr>
            <w:tcW w:type="dxa" w:w="3400"/>
            <w:tcMar>
              <w:top w:type="dxa" w:w="70"/>
              <w:left w:type="dxa" w:w="110"/>
              <w:bottom w:type="dxa" w:w="70"/>
              <w:right w:type="dxa" w:w="110"/>
            </w:tcMar>
          </w:tcPr>
          <w:p>
            <w:r>
              <w:t xml:space="preserve">Confirm a valid patch test is on file</w:t>
            </w:r>
          </w:p>
        </w:tc>
        <w:tc>
          <w:tcPr>
            <w:tcW w:type="dxa" w:w="2226"/>
            <w:tcMar>
              <w:top w:type="dxa" w:w="70"/>
              <w:left w:type="dxa" w:w="110"/>
              <w:bottom w:type="dxa" w:w="70"/>
              <w:right w:type="dxa" w:w="110"/>
            </w:tcMar>
          </w:tcPr>
          <w:p>
            <w:pPr>
              <w:jc w:val="center"/>
            </w:pPr>
            <w:r>
              <w:t xml:space="preserve">R</w:t>
            </w:r>
          </w:p>
        </w:tc>
        <w:tc>
          <w:tcPr>
            <w:tcW w:type="dxa" w:w="2226"/>
            <w:tcMar>
              <w:top w:type="dxa" w:w="70"/>
              <w:left w:type="dxa" w:w="110"/>
              <w:bottom w:type="dxa" w:w="70"/>
              <w:right w:type="dxa" w:w="110"/>
            </w:tcMar>
          </w:tcPr>
          <w:p>
            <w:pPr>
              <w:jc w:val="center"/>
            </w:pPr>
            <w:r>
              <w:t xml:space="preserve">R</w:t>
            </w:r>
          </w:p>
        </w:tc>
        <w:tc>
          <w:tcPr>
            <w:tcW w:type="dxa" w:w="2226"/>
            <w:tcMar>
              <w:top w:type="dxa" w:w="70"/>
              <w:left w:type="dxa" w:w="110"/>
              <w:bottom w:type="dxa" w:w="70"/>
              <w:right w:type="dxa" w:w="110"/>
            </w:tcMar>
          </w:tcPr>
          <w:p>
            <w:pPr>
              <w:jc w:val="center"/>
            </w:pPr>
            <w:r>
              <w:t xml:space="preserve">A</w:t>
            </w:r>
          </w:p>
        </w:tc>
      </w:tr>
      <w:tr>
        <w:tc>
          <w:tcPr>
            <w:tcW w:type="dxa" w:w="3400"/>
            <w:tcMar>
              <w:top w:type="dxa" w:w="70"/>
              <w:left w:type="dxa" w:w="110"/>
              <w:bottom w:type="dxa" w:w="70"/>
              <w:right w:type="dxa" w:w="110"/>
            </w:tcMar>
          </w:tcPr>
          <w:p>
            <w:r>
              <w:t xml:space="preserve">Mix the color formula</w:t>
            </w:r>
          </w:p>
        </w:tc>
        <w:tc>
          <w:tcPr>
            <w:tcW w:type="dxa" w:w="2226"/>
            <w:tcMar>
              <w:top w:type="dxa" w:w="70"/>
              <w:left w:type="dxa" w:w="110"/>
              <w:bottom w:type="dxa" w:w="70"/>
              <w:right w:type="dxa" w:w="110"/>
            </w:tcMar>
          </w:tcPr>
          <w:p>
            <w:pPr>
              <w:jc w:val="center"/>
            </w:pPr>
            <w:r>
              <w:t xml:space="preserve">R/A</w:t>
            </w:r>
          </w:p>
        </w:tc>
        <w:tc>
          <w:tcPr>
            <w:tcW w:type="dxa" w:w="2226"/>
            <w:tcMar>
              <w:top w:type="dxa" w:w="70"/>
              <w:left w:type="dxa" w:w="110"/>
              <w:bottom w:type="dxa" w:w="70"/>
              <w:right w:type="dxa" w:w="110"/>
            </w:tcMar>
          </w:tcPr>
          <w:p>
            <w:pPr>
              <w:jc w:val="center"/>
            </w:pPr>
            <w:r>
              <w:t xml:space="preserve">-</w:t>
            </w:r>
          </w:p>
        </w:tc>
        <w:tc>
          <w:tcPr>
            <w:tcW w:type="dxa" w:w="2226"/>
            <w:tcMar>
              <w:top w:type="dxa" w:w="70"/>
              <w:left w:type="dxa" w:w="110"/>
              <w:bottom w:type="dxa" w:w="70"/>
              <w:right w:type="dxa" w:w="110"/>
            </w:tcMar>
          </w:tcPr>
          <w:p>
            <w:pPr>
              <w:jc w:val="center"/>
            </w:pPr>
            <w:r>
              <w:t xml:space="preserve">I</w:t>
            </w:r>
          </w:p>
        </w:tc>
      </w:tr>
      <w:tr>
        <w:tc>
          <w:tcPr>
            <w:tcW w:type="dxa" w:w="3400"/>
            <w:tcMar>
              <w:top w:type="dxa" w:w="70"/>
              <w:left w:type="dxa" w:w="110"/>
              <w:bottom w:type="dxa" w:w="70"/>
              <w:right w:type="dxa" w:w="110"/>
            </w:tcMar>
          </w:tcPr>
          <w:p>
            <w:r>
              <w:t xml:space="preserve">Apply color and monitor processing</w:t>
            </w:r>
          </w:p>
        </w:tc>
        <w:tc>
          <w:tcPr>
            <w:tcW w:type="dxa" w:w="2226"/>
            <w:tcMar>
              <w:top w:type="dxa" w:w="70"/>
              <w:left w:type="dxa" w:w="110"/>
              <w:bottom w:type="dxa" w:w="70"/>
              <w:right w:type="dxa" w:w="110"/>
            </w:tcMar>
          </w:tcPr>
          <w:p>
            <w:pPr>
              <w:jc w:val="center"/>
            </w:pPr>
            <w:r>
              <w:t xml:space="preserve">R/A</w:t>
            </w:r>
          </w:p>
        </w:tc>
        <w:tc>
          <w:tcPr>
            <w:tcW w:type="dxa" w:w="2226"/>
            <w:tcMar>
              <w:top w:type="dxa" w:w="70"/>
              <w:left w:type="dxa" w:w="110"/>
              <w:bottom w:type="dxa" w:w="70"/>
              <w:right w:type="dxa" w:w="110"/>
            </w:tcMar>
          </w:tcPr>
          <w:p>
            <w:pPr>
              <w:jc w:val="center"/>
            </w:pPr>
            <w:r>
              <w:t xml:space="preserve">-</w:t>
            </w:r>
          </w:p>
        </w:tc>
        <w:tc>
          <w:tcPr>
            <w:tcW w:type="dxa" w:w="2226"/>
            <w:tcMar>
              <w:top w:type="dxa" w:w="70"/>
              <w:left w:type="dxa" w:w="110"/>
              <w:bottom w:type="dxa" w:w="70"/>
              <w:right w:type="dxa" w:w="110"/>
            </w:tcMar>
          </w:tcPr>
          <w:p>
            <w:pPr>
              <w:jc w:val="center"/>
            </w:pPr>
            <w:r>
              <w:t xml:space="preserve">I</w:t>
            </w:r>
          </w:p>
        </w:tc>
      </w:tr>
      <w:tr>
        <w:tc>
          <w:tcPr>
            <w:tcW w:type="dxa" w:w="3400"/>
            <w:tcMar>
              <w:top w:type="dxa" w:w="70"/>
              <w:left w:type="dxa" w:w="110"/>
              <w:bottom w:type="dxa" w:w="70"/>
              <w:right w:type="dxa" w:w="110"/>
            </w:tcMar>
          </w:tcPr>
          <w:p>
            <w:r>
              <w:t xml:space="preserve">Respond to an adverse reaction</w:t>
            </w:r>
          </w:p>
        </w:tc>
        <w:tc>
          <w:tcPr>
            <w:tcW w:type="dxa" w:w="2226"/>
            <w:tcMar>
              <w:top w:type="dxa" w:w="70"/>
              <w:left w:type="dxa" w:w="110"/>
              <w:bottom w:type="dxa" w:w="70"/>
              <w:right w:type="dxa" w:w="110"/>
            </w:tcMar>
          </w:tcPr>
          <w:p>
            <w:pPr>
              <w:jc w:val="center"/>
            </w:pPr>
            <w:r>
              <w:t xml:space="preserve">R</w:t>
            </w:r>
          </w:p>
        </w:tc>
        <w:tc>
          <w:tcPr>
            <w:tcW w:type="dxa" w:w="2226"/>
            <w:tcMar>
              <w:top w:type="dxa" w:w="70"/>
              <w:left w:type="dxa" w:w="110"/>
              <w:bottom w:type="dxa" w:w="70"/>
              <w:right w:type="dxa" w:w="110"/>
            </w:tcMar>
          </w:tcPr>
          <w:p>
            <w:pPr>
              <w:jc w:val="center"/>
            </w:pPr>
            <w:r>
              <w:t xml:space="preserve">I</w:t>
            </w:r>
          </w:p>
        </w:tc>
        <w:tc>
          <w:tcPr>
            <w:tcW w:type="dxa" w:w="2226"/>
            <w:tcMar>
              <w:top w:type="dxa" w:w="70"/>
              <w:left w:type="dxa" w:w="110"/>
              <w:bottom w:type="dxa" w:w="70"/>
              <w:right w:type="dxa" w:w="110"/>
            </w:tcMar>
          </w:tcPr>
          <w:p>
            <w:pPr>
              <w:jc w:val="center"/>
            </w:pPr>
            <w:r>
              <w:t xml:space="preserve">A</w:t>
            </w:r>
          </w:p>
        </w:tc>
      </w:tr>
      <w:tr>
        <w:tc>
          <w:tcPr>
            <w:tcW w:type="dxa" w:w="3400"/>
            <w:tcMar>
              <w:top w:type="dxa" w:w="70"/>
              <w:left w:type="dxa" w:w="110"/>
              <w:bottom w:type="dxa" w:w="70"/>
              <w:right w:type="dxa" w:w="110"/>
            </w:tcMar>
          </w:tcPr>
          <w:p>
            <w:r>
              <w:t xml:space="preserve">Dispose of chemical waste</w:t>
            </w:r>
          </w:p>
        </w:tc>
        <w:tc>
          <w:tcPr>
            <w:tcW w:type="dxa" w:w="2226"/>
            <w:tcMar>
              <w:top w:type="dxa" w:w="70"/>
              <w:left w:type="dxa" w:w="110"/>
              <w:bottom w:type="dxa" w:w="70"/>
              <w:right w:type="dxa" w:w="110"/>
            </w:tcMar>
          </w:tcPr>
          <w:p>
            <w:pPr>
              <w:jc w:val="center"/>
            </w:pPr>
            <w:r>
              <w:t xml:space="preserve">R</w:t>
            </w:r>
          </w:p>
        </w:tc>
        <w:tc>
          <w:tcPr>
            <w:tcW w:type="dxa" w:w="2226"/>
            <w:tcMar>
              <w:top w:type="dxa" w:w="70"/>
              <w:left w:type="dxa" w:w="110"/>
              <w:bottom w:type="dxa" w:w="70"/>
              <w:right w:type="dxa" w:w="110"/>
            </w:tcMar>
          </w:tcPr>
          <w:p>
            <w:pPr>
              <w:jc w:val="center"/>
            </w:pPr>
            <w:r>
              <w:t xml:space="preserve">-</w:t>
            </w:r>
          </w:p>
        </w:tc>
        <w:tc>
          <w:tcPr>
            <w:tcW w:type="dxa" w:w="2226"/>
            <w:tcMar>
              <w:top w:type="dxa" w:w="70"/>
              <w:left w:type="dxa" w:w="110"/>
              <w:bottom w:type="dxa" w:w="70"/>
              <w:right w:type="dxa" w:w="110"/>
            </w:tcMar>
          </w:tcPr>
          <w:p>
            <w:pPr>
              <w:jc w:val="center"/>
            </w:pPr>
            <w:r>
              <w:t xml:space="preserve">A</w:t>
            </w:r>
          </w:p>
        </w:tc>
      </w:tr>
    </w:tbl>
    <w:p>
      <w:pPr>
        <w:spacing w:before="60"/>
      </w:pPr>
      <w:r>
        <w:rPr>
          <w:color w:val="6B5B80"/>
          <w:sz w:val="16"/>
          <w:szCs w:val="16"/>
        </w:rPr>
        <w:t xml:space="preserve">R = Responsible, A = Accountable, C = Consulted, I = Informed</w:t>
      </w:r>
    </w:p>
    <w:p>
      <w:pPr>
        <w:spacing w:after="120"/>
      </w:pPr>
    </w:p>
    <w:p>
      <w:pPr>
        <w:pStyle w:val="Heading1"/>
        <w:keepNext/>
      </w:pPr>
      <w:r>
        <w:t xml:space="preserve">4. Materials and PPE</w:t>
      </w:r>
    </w:p>
    <w:p>
      <w:pPr>
        <w:pStyle w:val="Heading3"/>
        <w:keepNext/>
      </w:pPr>
      <w:r>
        <w:t xml:space="preserve">Materials, tools and systems</w:t>
      </w:r>
    </w:p>
    <w:p>
      <w:pPr>
        <w:pStyle w:val="ListParagraph"/>
        <w:numPr>
          <w:ilvl w:val="0"/>
          <w:numId w:val="1"/>
        </w:numPr>
        <w:spacing w:after="60"/>
      </w:pPr>
      <w:r>
        <w:t xml:space="preserve">Color formula card and client profile history</w:t>
      </w:r>
    </w:p>
    <w:p>
      <w:pPr>
        <w:pStyle w:val="ListParagraph"/>
        <w:numPr>
          <w:ilvl w:val="0"/>
          <w:numId w:val="1"/>
        </w:numPr>
        <w:spacing w:after="60"/>
      </w:pPr>
      <w:r>
        <w:t xml:space="preserve">Color, developer and mixing bowl or bottle</w:t>
      </w:r>
    </w:p>
    <w:p>
      <w:pPr>
        <w:pStyle w:val="ListParagraph"/>
        <w:numPr>
          <w:ilvl w:val="0"/>
          <w:numId w:val="1"/>
        </w:numPr>
        <w:spacing w:after="60"/>
      </w:pPr>
      <w:r>
        <w:t xml:space="preserve">Foils, sectioning clips and tint brush</w:t>
      </w:r>
    </w:p>
    <w:p>
      <w:pPr>
        <w:pStyle w:val="ListParagraph"/>
        <w:numPr>
          <w:ilvl w:val="0"/>
          <w:numId w:val="1"/>
        </w:numPr>
        <w:spacing w:after="60"/>
      </w:pPr>
      <w:r>
        <w:t xml:space="preserve">Timer</w:t>
      </w:r>
    </w:p>
    <w:p>
      <w:pPr>
        <w:pStyle w:val="ListParagraph"/>
        <w:numPr>
          <w:ilvl w:val="0"/>
          <w:numId w:val="1"/>
        </w:numPr>
        <w:spacing w:after="60"/>
      </w:pPr>
      <w:r>
        <w:t xml:space="preserve">Cape and skin barrier cream</w:t>
      </w:r>
    </w:p>
    <w:p>
      <w:pPr>
        <w:pStyle w:val="ListParagraph"/>
        <w:numPr>
          <w:ilvl w:val="0"/>
          <w:numId w:val="1"/>
        </w:numPr>
        <w:spacing w:after="60"/>
      </w:pPr>
      <w:r>
        <w:t xml:space="preserve">Chemical waste container</w:t>
      </w:r>
    </w:p>
    <w:p>
      <w:pPr>
        <w:spacing w:after="120"/>
      </w:pPr>
    </w:p>
    <w:p>
      <w:pPr>
        <w:pStyle w:val="Heading3"/>
        <w:keepNext/>
      </w:pPr>
      <w:r>
        <w:t xml:space="preserve">Personal protective equipment</w:t>
      </w:r>
    </w:p>
    <w:p>
      <w:pPr>
        <w:pStyle w:val="ListParagraph"/>
        <w:numPr>
          <w:ilvl w:val="0"/>
          <w:numId w:val="1"/>
        </w:numPr>
        <w:spacing w:after="60"/>
      </w:pPr>
      <w:r>
        <w:t xml:space="preserve">Disposable gloves</w:t>
      </w:r>
    </w:p>
    <w:p>
      <w:pPr>
        <w:pStyle w:val="ListParagraph"/>
        <w:numPr>
          <w:ilvl w:val="0"/>
          <w:numId w:val="1"/>
        </w:numPr>
        <w:spacing w:after="60"/>
      </w:pPr>
      <w:r>
        <w:t xml:space="preserve">Tint cape and towel</w:t>
      </w:r>
    </w:p>
    <w:p>
      <w:pPr>
        <w:pStyle w:val="ListParagraph"/>
        <w:numPr>
          <w:ilvl w:val="0"/>
          <w:numId w:val="1"/>
        </w:numPr>
        <w:spacing w:after="60"/>
      </w:pPr>
      <w:r>
        <w:t xml:space="preserve">Eye protection when mixing</w:t>
      </w:r>
    </w:p>
    <w:p>
      <w:pPr>
        <w:spacing w:after="120"/>
      </w:pPr>
    </w:p>
    <w:p>
      <w:pPr>
        <w:pStyle w:val="Heading1"/>
        <w:keepNext/>
      </w:pPr>
      <w:r>
        <w:t xml:space="preserve">5. Procedure</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900"/>
        <w:gridCol w:w="6280"/>
        <w:gridCol w:w="2000"/>
        <w:gridCol w:w="900"/>
      </w:tblGrid>
      <w:tr>
        <w:trPr>
          <w:tblHeader/>
        </w:trPr>
        <w:tc>
          <w:tcPr>
            <w:tcW w:type="dxa" w:w="900"/>
            <w:shd w:fill="0E0820" w:color="auto" w:val="clear"/>
            <w:tcMar>
              <w:top w:type="dxa" w:w="70"/>
              <w:left w:type="dxa" w:w="110"/>
              <w:bottom w:type="dxa" w:w="70"/>
              <w:right w:type="dxa" w:w="110"/>
            </w:tcMar>
          </w:tcPr>
          <w:p>
            <w:r>
              <w:rPr>
                <w:b/>
                <w:bCs/>
                <w:color w:val="FFFFFF"/>
              </w:rPr>
              <w:t xml:space="preserve">Step</w:t>
            </w:r>
          </w:p>
        </w:tc>
        <w:tc>
          <w:tcPr>
            <w:tcW w:type="dxa" w:w="6280"/>
            <w:shd w:fill="0E0820" w:color="auto" w:val="clear"/>
            <w:tcMar>
              <w:top w:type="dxa" w:w="70"/>
              <w:left w:type="dxa" w:w="110"/>
              <w:bottom w:type="dxa" w:w="70"/>
              <w:right w:type="dxa" w:w="110"/>
            </w:tcMar>
          </w:tcPr>
          <w:p>
            <w:r>
              <w:rPr>
                <w:b/>
                <w:bCs/>
                <w:color w:val="FFFFFF"/>
              </w:rPr>
              <w:t xml:space="preserve">Task</w:t>
            </w:r>
          </w:p>
        </w:tc>
        <w:tc>
          <w:tcPr>
            <w:tcW w:type="dxa" w:w="2000"/>
            <w:shd w:fill="0E0820" w:color="auto" w:val="clear"/>
            <w:tcMar>
              <w:top w:type="dxa" w:w="70"/>
              <w:left w:type="dxa" w:w="110"/>
              <w:bottom w:type="dxa" w:w="70"/>
              <w:right w:type="dxa" w:w="110"/>
            </w:tcMar>
          </w:tcPr>
          <w:p>
            <w:r>
              <w:rPr>
                <w:b/>
                <w:bCs/>
                <w:color w:val="FFFFFF"/>
              </w:rPr>
              <w:t xml:space="preserve">Owner</w:t>
            </w:r>
          </w:p>
        </w:tc>
        <w:tc>
          <w:tcPr>
            <w:tcW w:type="dxa" w:w="900"/>
            <w:shd w:fill="0E0820" w:color="auto" w:val="clear"/>
            <w:tcMar>
              <w:top w:type="dxa" w:w="70"/>
              <w:left w:type="dxa" w:w="110"/>
              <w:bottom w:type="dxa" w:w="70"/>
              <w:right w:type="dxa" w:w="110"/>
            </w:tcMar>
          </w:tcPr>
          <w:p>
            <w:r>
              <w:rPr>
                <w:b/>
                <w:bCs/>
                <w:color w:val="FFFFFF"/>
              </w:rPr>
              <w:t xml:space="preserve">Done</w:t>
            </w:r>
          </w:p>
        </w:tc>
      </w:tr>
      <w:tr>
        <w:trPr>
          <w:cantSplit/>
        </w:trPr>
        <w:tc>
          <w:tcPr>
            <w:tcW w:type="dxa" w:w="900"/>
            <w:tcMar>
              <w:top w:type="dxa" w:w="70"/>
              <w:left w:type="dxa" w:w="110"/>
              <w:bottom w:type="dxa" w:w="70"/>
              <w:right w:type="dxa" w:w="110"/>
            </w:tcMar>
          </w:tcPr>
          <w:p>
            <w:r>
              <w:rPr>
                <w:b/>
                <w:bCs/>
              </w:rPr>
              <w:t xml:space="preserve">5.1</w:t>
            </w:r>
          </w:p>
        </w:tc>
        <w:tc>
          <w:tcPr>
            <w:tcW w:type="dxa" w:w="6280"/>
            <w:tcMar>
              <w:top w:type="dxa" w:w="70"/>
              <w:left w:type="dxa" w:w="110"/>
              <w:bottom w:type="dxa" w:w="70"/>
              <w:right w:type="dxa" w:w="110"/>
            </w:tcMar>
          </w:tcPr>
          <w:p>
            <w:pPr>
              <w:spacing w:after="40"/>
            </w:pPr>
            <w:r>
              <w:rPr>
                <w:b/>
                <w:bCs/>
                <w:color w:val="0E0820"/>
              </w:rPr>
              <w:t xml:space="preserve">Confirm a current patch test on file</w:t>
            </w:r>
          </w:p>
          <w:p>
            <w:r>
              <w:t xml:space="preserve">Before booking or starting a color service, confirm the client has a patch test on file completed within the manufacturer's recommended window, typically 48 hours before application.</w:t>
            </w:r>
          </w:p>
          <w:p>
            <w:pPr>
              <w:spacing w:before="60"/>
            </w:pPr>
            <w:r>
              <w:rPr>
                <w:b/>
                <w:bCs/>
                <w:color w:val="9A5B00"/>
              </w:rPr>
              <w:t xml:space="preserve">Checkpoint: </w:t>
            </w:r>
            <w:r>
              <w:t xml:space="preserve">No color service proceeds without a documented, current patch test on file.</w:t>
            </w:r>
          </w:p>
        </w:tc>
        <w:tc>
          <w:tcPr>
            <w:tcW w:type="dxa" w:w="2000"/>
            <w:tcMar>
              <w:top w:type="dxa" w:w="70"/>
              <w:left w:type="dxa" w:w="110"/>
              <w:bottom w:type="dxa" w:w="70"/>
              <w:right w:type="dxa" w:w="110"/>
            </w:tcMar>
          </w:tcPr>
          <w:p>
            <w:r>
              <w:t xml:space="preserve">Front Desk Coordinator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5.2</w:t>
            </w:r>
          </w:p>
        </w:tc>
        <w:tc>
          <w:tcPr>
            <w:tcW w:type="dxa" w:w="6280"/>
            <w:tcMar>
              <w:top w:type="dxa" w:w="70"/>
              <w:left w:type="dxa" w:w="110"/>
              <w:bottom w:type="dxa" w:w="70"/>
              <w:right w:type="dxa" w:w="110"/>
            </w:tcMar>
          </w:tcPr>
          <w:p>
            <w:pPr>
              <w:spacing w:after="40"/>
            </w:pPr>
            <w:r>
              <w:rPr>
                <w:b/>
                <w:bCs/>
                <w:color w:val="0E0820"/>
              </w:rPr>
              <w:t xml:space="preserve">Perform the patch test if needed</w:t>
            </w:r>
          </w:p>
          <w:p>
            <w:r>
              <w:t xml:space="preserve">If no current patch test is on file, apply a small amount of the diluted color to the skin per the manufacturer's instructions and schedule the color service for after the required waiting period.</w:t>
            </w:r>
          </w:p>
          <w:p>
            <w:pPr>
              <w:spacing w:before="60"/>
            </w:pPr>
            <w:r>
              <w:rPr>
                <w:b/>
                <w:bCs/>
                <w:color w:val="B42318"/>
              </w:rPr>
              <w:t xml:space="preserve">Warning: </w:t>
            </w:r>
            <w:r>
              <w:t xml:space="preserve">Never skip or shorten the patch test waiting period, even for a returning client, if their patch test has expired.</w:t>
            </w:r>
          </w:p>
        </w:tc>
        <w:tc>
          <w:tcPr>
            <w:tcW w:type="dxa" w:w="2000"/>
            <w:tcMar>
              <w:top w:type="dxa" w:w="70"/>
              <w:left w:type="dxa" w:w="110"/>
              <w:bottom w:type="dxa" w:w="70"/>
              <w:right w:type="dxa" w:w="110"/>
            </w:tcMar>
          </w:tcPr>
          <w:p>
            <w:r>
              <w:t xml:space="preserve">Colorist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5.3</w:t>
            </w:r>
          </w:p>
        </w:tc>
        <w:tc>
          <w:tcPr>
            <w:tcW w:type="dxa" w:w="6280"/>
            <w:tcMar>
              <w:top w:type="dxa" w:w="70"/>
              <w:left w:type="dxa" w:w="110"/>
              <w:bottom w:type="dxa" w:w="70"/>
              <w:right w:type="dxa" w:w="110"/>
            </w:tcMar>
          </w:tcPr>
          <w:p>
            <w:pPr>
              <w:spacing w:after="40"/>
            </w:pPr>
            <w:r>
              <w:rPr>
                <w:b/>
                <w:bCs/>
                <w:color w:val="0E0820"/>
              </w:rPr>
              <w:t xml:space="preserve">Review the consultation and desired result</w:t>
            </w:r>
          </w:p>
          <w:p>
            <w:r>
              <w:t xml:space="preserve">Review the client's consultation notes, reference photos and previous formula history before selecting today's formula.</w:t>
            </w:r>
          </w:p>
        </w:tc>
        <w:tc>
          <w:tcPr>
            <w:tcW w:type="dxa" w:w="2000"/>
            <w:tcMar>
              <w:top w:type="dxa" w:w="70"/>
              <w:left w:type="dxa" w:w="110"/>
              <w:bottom w:type="dxa" w:w="70"/>
              <w:right w:type="dxa" w:w="110"/>
            </w:tcMar>
          </w:tcPr>
          <w:p>
            <w:r>
              <w:t xml:space="preserve">Colorist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5.4</w:t>
            </w:r>
          </w:p>
        </w:tc>
        <w:tc>
          <w:tcPr>
            <w:tcW w:type="dxa" w:w="6280"/>
            <w:tcMar>
              <w:top w:type="dxa" w:w="70"/>
              <w:left w:type="dxa" w:w="110"/>
              <w:bottom w:type="dxa" w:w="70"/>
              <w:right w:type="dxa" w:w="110"/>
            </w:tcMar>
          </w:tcPr>
          <w:p>
            <w:pPr>
              <w:spacing w:after="40"/>
            </w:pPr>
            <w:r>
              <w:rPr>
                <w:b/>
                <w:bCs/>
                <w:color w:val="0E0820"/>
              </w:rPr>
              <w:t xml:space="preserve">Protect the client's skin and clothing</w:t>
            </w:r>
          </w:p>
          <w:p>
            <w:r>
              <w:t xml:space="preserve">Apply a skin barrier cream along the hairline and drape the client with a cape and towel to protect their skin and clothing.</w:t>
            </w:r>
          </w:p>
        </w:tc>
        <w:tc>
          <w:tcPr>
            <w:tcW w:type="dxa" w:w="2000"/>
            <w:tcMar>
              <w:top w:type="dxa" w:w="70"/>
              <w:left w:type="dxa" w:w="110"/>
              <w:bottom w:type="dxa" w:w="70"/>
              <w:right w:type="dxa" w:w="110"/>
            </w:tcMar>
          </w:tcPr>
          <w:p>
            <w:r>
              <w:t xml:space="preserve">Colorist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5.5</w:t>
            </w:r>
          </w:p>
        </w:tc>
        <w:tc>
          <w:tcPr>
            <w:tcW w:type="dxa" w:w="6280"/>
            <w:tcMar>
              <w:top w:type="dxa" w:w="70"/>
              <w:left w:type="dxa" w:w="110"/>
              <w:bottom w:type="dxa" w:w="70"/>
              <w:right w:type="dxa" w:w="110"/>
            </w:tcMar>
          </w:tcPr>
          <w:p>
            <w:pPr>
              <w:spacing w:after="40"/>
            </w:pPr>
            <w:r>
              <w:rPr>
                <w:b/>
                <w:bCs/>
                <w:color w:val="0E0820"/>
              </w:rPr>
              <w:t xml:space="preserve">Mix the formula to specification</w:t>
            </w:r>
          </w:p>
          <w:p>
            <w:r>
              <w:t xml:space="preserve">Mix the color and developer at the ratio specified by the manufacturer, using a clean bowl or bottle and gloves.</w:t>
            </w:r>
          </w:p>
          <w:p>
            <w:pPr>
              <w:spacing w:before="60"/>
            </w:pPr>
            <w:r>
              <w:rPr>
                <w:b/>
                <w:bCs/>
                <w:color w:val="B42318"/>
              </w:rPr>
              <w:t xml:space="preserve">Warning: </w:t>
            </w:r>
            <w:r>
              <w:t xml:space="preserve">Never combine different product lines or ratios outside the manufacturer's instructions.</w:t>
            </w:r>
          </w:p>
        </w:tc>
        <w:tc>
          <w:tcPr>
            <w:tcW w:type="dxa" w:w="2000"/>
            <w:tcMar>
              <w:top w:type="dxa" w:w="70"/>
              <w:left w:type="dxa" w:w="110"/>
              <w:bottom w:type="dxa" w:w="70"/>
              <w:right w:type="dxa" w:w="110"/>
            </w:tcMar>
          </w:tcPr>
          <w:p>
            <w:r>
              <w:t xml:space="preserve">Colorist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5.6</w:t>
            </w:r>
          </w:p>
        </w:tc>
        <w:tc>
          <w:tcPr>
            <w:tcW w:type="dxa" w:w="6280"/>
            <w:tcMar>
              <w:top w:type="dxa" w:w="70"/>
              <w:left w:type="dxa" w:w="110"/>
              <w:bottom w:type="dxa" w:w="70"/>
              <w:right w:type="dxa" w:w="110"/>
            </w:tcMar>
          </w:tcPr>
          <w:p>
            <w:pPr>
              <w:spacing w:after="40"/>
            </w:pPr>
            <w:r>
              <w:rPr>
                <w:b/>
                <w:bCs/>
                <w:color w:val="0E0820"/>
              </w:rPr>
              <w:t xml:space="preserve">Perform a strand test if needed</w:t>
            </w:r>
          </w:p>
          <w:p>
            <w:r>
              <w:t xml:space="preserve">For a new formula combination or a significant color change, apply the mixed formula to a small, hidden strand first to preview the result and timing.</w:t>
            </w:r>
          </w:p>
        </w:tc>
        <w:tc>
          <w:tcPr>
            <w:tcW w:type="dxa" w:w="2000"/>
            <w:tcMar>
              <w:top w:type="dxa" w:w="70"/>
              <w:left w:type="dxa" w:w="110"/>
              <w:bottom w:type="dxa" w:w="70"/>
              <w:right w:type="dxa" w:w="110"/>
            </w:tcMar>
          </w:tcPr>
          <w:p>
            <w:r>
              <w:t xml:space="preserve">Colorist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5.7</w:t>
            </w:r>
          </w:p>
        </w:tc>
        <w:tc>
          <w:tcPr>
            <w:tcW w:type="dxa" w:w="6280"/>
            <w:tcMar>
              <w:top w:type="dxa" w:w="70"/>
              <w:left w:type="dxa" w:w="110"/>
              <w:bottom w:type="dxa" w:w="70"/>
              <w:right w:type="dxa" w:w="110"/>
            </w:tcMar>
          </w:tcPr>
          <w:p>
            <w:pPr>
              <w:spacing w:after="40"/>
            </w:pPr>
            <w:r>
              <w:rPr>
                <w:b/>
                <w:bCs/>
                <w:color w:val="0E0820"/>
              </w:rPr>
              <w:t xml:space="preserve">Section and apply the color</w:t>
            </w:r>
          </w:p>
          <w:p>
            <w:r>
              <w:t xml:space="preserve">Section the hair cleanly and apply the formula in the order needed for the technique, working efficiently so all sections process evenly.</w:t>
            </w:r>
          </w:p>
        </w:tc>
        <w:tc>
          <w:tcPr>
            <w:tcW w:type="dxa" w:w="2000"/>
            <w:tcMar>
              <w:top w:type="dxa" w:w="70"/>
              <w:left w:type="dxa" w:w="110"/>
              <w:bottom w:type="dxa" w:w="70"/>
              <w:right w:type="dxa" w:w="110"/>
            </w:tcMar>
          </w:tcPr>
          <w:p>
            <w:r>
              <w:t xml:space="preserve">Colorist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5.8</w:t>
            </w:r>
          </w:p>
        </w:tc>
        <w:tc>
          <w:tcPr>
            <w:tcW w:type="dxa" w:w="6280"/>
            <w:tcMar>
              <w:top w:type="dxa" w:w="70"/>
              <w:left w:type="dxa" w:w="110"/>
              <w:bottom w:type="dxa" w:w="70"/>
              <w:right w:type="dxa" w:w="110"/>
            </w:tcMar>
          </w:tcPr>
          <w:p>
            <w:pPr>
              <w:spacing w:after="40"/>
            </w:pPr>
            <w:r>
              <w:rPr>
                <w:b/>
                <w:bCs/>
                <w:color w:val="0E0820"/>
              </w:rPr>
              <w:t xml:space="preserve">Set the timer and monitor processing</w:t>
            </w:r>
          </w:p>
          <w:p>
            <w:r>
              <w:t xml:space="preserve">Set a timer for the processing time specified by the manufacturer and check the color's development partway through without disturbing the full application.</w:t>
            </w:r>
          </w:p>
          <w:p>
            <w:pPr>
              <w:spacing w:before="60"/>
            </w:pPr>
            <w:r>
              <w:rPr>
                <w:b/>
                <w:bCs/>
                <w:color w:val="9A5B00"/>
              </w:rPr>
              <w:t xml:space="preserve">Checkpoint: </w:t>
            </w:r>
            <w:r>
              <w:t xml:space="preserve">Color development is checked against the strand test result before rinsing begins.</w:t>
            </w:r>
          </w:p>
        </w:tc>
        <w:tc>
          <w:tcPr>
            <w:tcW w:type="dxa" w:w="2000"/>
            <w:tcMar>
              <w:top w:type="dxa" w:w="70"/>
              <w:left w:type="dxa" w:w="110"/>
              <w:bottom w:type="dxa" w:w="70"/>
              <w:right w:type="dxa" w:w="110"/>
            </w:tcMar>
          </w:tcPr>
          <w:p>
            <w:r>
              <w:t xml:space="preserve">Colorist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5.9</w:t>
            </w:r>
          </w:p>
        </w:tc>
        <w:tc>
          <w:tcPr>
            <w:tcW w:type="dxa" w:w="6280"/>
            <w:tcMar>
              <w:top w:type="dxa" w:w="70"/>
              <w:left w:type="dxa" w:w="110"/>
              <w:bottom w:type="dxa" w:w="70"/>
              <w:right w:type="dxa" w:w="110"/>
            </w:tcMar>
          </w:tcPr>
          <w:p>
            <w:pPr>
              <w:spacing w:after="40"/>
            </w:pPr>
            <w:r>
              <w:rPr>
                <w:b/>
                <w:bCs/>
                <w:color w:val="0E0820"/>
              </w:rPr>
              <w:t xml:space="preserve">Rinse thoroughly</w:t>
            </w:r>
          </w:p>
          <w:p>
            <w:r>
              <w:t xml:space="preserve">Rinse the hair thoroughly with lukewarm water until the water runs clear, then apply a color-safe shampoo formulated to stop the processing.</w:t>
            </w:r>
          </w:p>
        </w:tc>
        <w:tc>
          <w:tcPr>
            <w:tcW w:type="dxa" w:w="2000"/>
            <w:tcMar>
              <w:top w:type="dxa" w:w="70"/>
              <w:left w:type="dxa" w:w="110"/>
              <w:bottom w:type="dxa" w:w="70"/>
              <w:right w:type="dxa" w:w="110"/>
            </w:tcMar>
          </w:tcPr>
          <w:p>
            <w:r>
              <w:t xml:space="preserve">Colorist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5.10</w:t>
            </w:r>
          </w:p>
        </w:tc>
        <w:tc>
          <w:tcPr>
            <w:tcW w:type="dxa" w:w="6280"/>
            <w:tcMar>
              <w:top w:type="dxa" w:w="70"/>
              <w:left w:type="dxa" w:w="110"/>
              <w:bottom w:type="dxa" w:w="70"/>
              <w:right w:type="dxa" w:w="110"/>
            </w:tcMar>
          </w:tcPr>
          <w:p>
            <w:pPr>
              <w:spacing w:after="40"/>
            </w:pPr>
            <w:r>
              <w:rPr>
                <w:b/>
                <w:bCs/>
                <w:color w:val="0E0820"/>
              </w:rPr>
              <w:t xml:space="preserve">Tone or treat as needed</w:t>
            </w:r>
          </w:p>
          <w:p>
            <w:r>
              <w:t xml:space="preserve">Apply a toner or bond-building treatment if the desired result calls for it, following the same formula and timing discipline as the base color.</w:t>
            </w:r>
          </w:p>
        </w:tc>
        <w:tc>
          <w:tcPr>
            <w:tcW w:type="dxa" w:w="2000"/>
            <w:tcMar>
              <w:top w:type="dxa" w:w="70"/>
              <w:left w:type="dxa" w:w="110"/>
              <w:bottom w:type="dxa" w:w="70"/>
              <w:right w:type="dxa" w:w="110"/>
            </w:tcMar>
          </w:tcPr>
          <w:p>
            <w:r>
              <w:t xml:space="preserve">Colorist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5.11</w:t>
            </w:r>
          </w:p>
        </w:tc>
        <w:tc>
          <w:tcPr>
            <w:tcW w:type="dxa" w:w="6280"/>
            <w:tcMar>
              <w:top w:type="dxa" w:w="70"/>
              <w:left w:type="dxa" w:w="110"/>
              <w:bottom w:type="dxa" w:w="70"/>
              <w:right w:type="dxa" w:w="110"/>
            </w:tcMar>
          </w:tcPr>
          <w:p>
            <w:pPr>
              <w:spacing w:after="40"/>
            </w:pPr>
            <w:r>
              <w:rPr>
                <w:b/>
                <w:bCs/>
                <w:color w:val="0E0820"/>
              </w:rPr>
              <w:t xml:space="preserve">Style and record the final formula</w:t>
            </w:r>
          </w:p>
          <w:p>
            <w:r>
              <w:t xml:space="preserve">Style the hair to complete the look, then record the exact formula, timing and technique used in the client's profile for future visits.</w:t>
            </w:r>
          </w:p>
        </w:tc>
        <w:tc>
          <w:tcPr>
            <w:tcW w:type="dxa" w:w="2000"/>
            <w:tcMar>
              <w:top w:type="dxa" w:w="70"/>
              <w:left w:type="dxa" w:w="110"/>
              <w:bottom w:type="dxa" w:w="70"/>
              <w:right w:type="dxa" w:w="110"/>
            </w:tcMar>
          </w:tcPr>
          <w:p>
            <w:r>
              <w:t xml:space="preserve">Colorist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5.12</w:t>
            </w:r>
          </w:p>
        </w:tc>
        <w:tc>
          <w:tcPr>
            <w:tcW w:type="dxa" w:w="6280"/>
            <w:tcMar>
              <w:top w:type="dxa" w:w="70"/>
              <w:left w:type="dxa" w:w="110"/>
              <w:bottom w:type="dxa" w:w="70"/>
              <w:right w:type="dxa" w:w="110"/>
            </w:tcMar>
          </w:tcPr>
          <w:p>
            <w:pPr>
              <w:spacing w:after="40"/>
            </w:pPr>
            <w:r>
              <w:rPr>
                <w:b/>
                <w:bCs/>
                <w:color w:val="0E0820"/>
              </w:rPr>
              <w:t xml:space="preserve">Give aftercare guidance</w:t>
            </w:r>
          </w:p>
          <w:p>
            <w:r>
              <w:t xml:space="preserve">Explain color-safe washing frequency, recommended products and when to book a touch-up before the client leaves.</w:t>
            </w:r>
          </w:p>
        </w:tc>
        <w:tc>
          <w:tcPr>
            <w:tcW w:type="dxa" w:w="2000"/>
            <w:tcMar>
              <w:top w:type="dxa" w:w="70"/>
              <w:left w:type="dxa" w:w="110"/>
              <w:bottom w:type="dxa" w:w="70"/>
              <w:right w:type="dxa" w:w="110"/>
            </w:tcMar>
          </w:tcPr>
          <w:p>
            <w:r>
              <w:t xml:space="preserve">Colorist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5.13</w:t>
            </w:r>
          </w:p>
        </w:tc>
        <w:tc>
          <w:tcPr>
            <w:tcW w:type="dxa" w:w="6280"/>
            <w:tcMar>
              <w:top w:type="dxa" w:w="70"/>
              <w:left w:type="dxa" w:w="110"/>
              <w:bottom w:type="dxa" w:w="70"/>
              <w:right w:type="dxa" w:w="110"/>
            </w:tcMar>
          </w:tcPr>
          <w:p>
            <w:pPr>
              <w:spacing w:after="40"/>
            </w:pPr>
            <w:r>
              <w:rPr>
                <w:b/>
                <w:bCs/>
                <w:color w:val="0E0820"/>
              </w:rPr>
              <w:t xml:space="preserve">Respond to an adverse reaction</w:t>
            </w:r>
          </w:p>
          <w:p>
            <w:r>
              <w:t xml:space="preserve">If a client reports burning, swelling or a rash during or after the service, stop and rinse the area immediately, notify the salon manager, and advise the client to seek medical attention if symptoms are severe.</w:t>
            </w:r>
          </w:p>
          <w:p>
            <w:pPr>
              <w:spacing w:before="60"/>
            </w:pPr>
            <w:r>
              <w:rPr>
                <w:b/>
                <w:bCs/>
                <w:color w:val="B42318"/>
              </w:rPr>
              <w:t xml:space="preserve">Warning: </w:t>
            </w:r>
            <w:r>
              <w:t xml:space="preserve">Treat any sign of an allergic reaction as urgent. Rinse the product off immediately and do not attempt to continue the service.</w:t>
            </w:r>
          </w:p>
        </w:tc>
        <w:tc>
          <w:tcPr>
            <w:tcW w:type="dxa" w:w="2000"/>
            <w:tcMar>
              <w:top w:type="dxa" w:w="70"/>
              <w:left w:type="dxa" w:w="110"/>
              <w:bottom w:type="dxa" w:w="70"/>
              <w:right w:type="dxa" w:w="110"/>
            </w:tcMar>
          </w:tcPr>
          <w:p>
            <w:r>
              <w:t xml:space="preserve">Colorist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5.14</w:t>
            </w:r>
          </w:p>
        </w:tc>
        <w:tc>
          <w:tcPr>
            <w:tcW w:type="dxa" w:w="6280"/>
            <w:tcMar>
              <w:top w:type="dxa" w:w="70"/>
              <w:left w:type="dxa" w:w="110"/>
              <w:bottom w:type="dxa" w:w="70"/>
              <w:right w:type="dxa" w:w="110"/>
            </w:tcMar>
          </w:tcPr>
          <w:p>
            <w:pPr>
              <w:spacing w:after="40"/>
            </w:pPr>
            <w:r>
              <w:rPr>
                <w:b/>
                <w:bCs/>
                <w:color w:val="0E0820"/>
              </w:rPr>
              <w:t xml:space="preserve">Dispose of chemical waste</w:t>
            </w:r>
          </w:p>
          <w:p>
            <w:r>
              <w:t xml:space="preserve">Dispose of leftover color, developer and used foils according to local regulations for chemical and hazardous waste.</w:t>
            </w:r>
          </w:p>
        </w:tc>
        <w:tc>
          <w:tcPr>
            <w:tcW w:type="dxa" w:w="2000"/>
            <w:tcMar>
              <w:top w:type="dxa" w:w="70"/>
              <w:left w:type="dxa" w:w="110"/>
              <w:bottom w:type="dxa" w:w="70"/>
              <w:right w:type="dxa" w:w="110"/>
            </w:tcMar>
          </w:tcPr>
          <w:p>
            <w:r>
              <w:t xml:space="preserve">Colorist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bl>
    <w:p>
      <w:pPr>
        <w:spacing w:after="120"/>
      </w:pPr>
    </w:p>
    <w:p>
      <w:pPr>
        <w:pStyle w:val="Heading1"/>
        <w:keepNext/>
      </w:pPr>
      <w:r>
        <w:t xml:space="preserve">6. Quality checks</w:t>
      </w:r>
    </w:p>
    <w:p>
      <w:pPr>
        <w:pStyle w:val="ListParagraph"/>
        <w:numPr>
          <w:ilvl w:val="0"/>
          <w:numId w:val="1"/>
        </w:numPr>
        <w:spacing w:after="60"/>
      </w:pPr>
      <w:r>
        <w:t xml:space="preserve">Every color service has a current patch test on file before application.</w:t>
      </w:r>
    </w:p>
    <w:p>
      <w:pPr>
        <w:pStyle w:val="ListParagraph"/>
        <w:numPr>
          <w:ilvl w:val="0"/>
          <w:numId w:val="1"/>
        </w:numPr>
        <w:spacing w:after="60"/>
      </w:pPr>
      <w:r>
        <w:t xml:space="preserve">Formula and timing used are recorded in the client profile after every service.</w:t>
      </w:r>
    </w:p>
    <w:p>
      <w:pPr>
        <w:pStyle w:val="ListParagraph"/>
        <w:numPr>
          <w:ilvl w:val="0"/>
          <w:numId w:val="1"/>
        </w:numPr>
        <w:spacing w:after="60"/>
      </w:pPr>
      <w:r>
        <w:t xml:space="preserve">Processing is monitored against a strand test or the manufacturer's stated time.</w:t>
      </w:r>
    </w:p>
    <w:p>
      <w:pPr>
        <w:pStyle w:val="ListParagraph"/>
        <w:numPr>
          <w:ilvl w:val="0"/>
          <w:numId w:val="1"/>
        </w:numPr>
        <w:spacing w:after="60"/>
      </w:pPr>
      <w:r>
        <w:t xml:space="preserve">No adverse reaction goes unreported to the salon manager.</w:t>
      </w:r>
    </w:p>
    <w:p>
      <w:pPr>
        <w:spacing w:after="120"/>
      </w:pPr>
    </w:p>
    <w:p>
      <w:pPr>
        <w:pStyle w:val="Heading1"/>
        <w:keepNext/>
      </w:pPr>
      <w:r>
        <w:t xml:space="preserve">7. Records</w:t>
      </w:r>
    </w:p>
    <w:p>
      <w:pPr>
        <w:pStyle w:val="ListParagraph"/>
        <w:numPr>
          <w:ilvl w:val="0"/>
          <w:numId w:val="1"/>
        </w:numPr>
        <w:spacing w:after="60"/>
      </w:pPr>
      <w:r>
        <w:t xml:space="preserve">Patch test results and dates</w:t>
      </w:r>
    </w:p>
    <w:p>
      <w:pPr>
        <w:pStyle w:val="ListParagraph"/>
        <w:numPr>
          <w:ilvl w:val="0"/>
          <w:numId w:val="1"/>
        </w:numPr>
        <w:spacing w:after="60"/>
      </w:pPr>
      <w:r>
        <w:t xml:space="preserve">Color formula card per client</w:t>
      </w:r>
    </w:p>
    <w:p>
      <w:pPr>
        <w:pStyle w:val="ListParagraph"/>
        <w:numPr>
          <w:ilvl w:val="0"/>
          <w:numId w:val="1"/>
        </w:numPr>
        <w:spacing w:after="60"/>
      </w:pPr>
      <w:r>
        <w:t xml:space="preserve">Adverse reaction reports, if any</w:t>
      </w:r>
    </w:p>
    <w:p>
      <w:pPr>
        <w:pStyle w:val="ListParagraph"/>
        <w:numPr>
          <w:ilvl w:val="0"/>
          <w:numId w:val="1"/>
        </w:numPr>
        <w:spacing w:after="60"/>
      </w:pPr>
      <w:r>
        <w:t xml:space="preserve">Chemical waste disposal log</w:t>
      </w:r>
    </w:p>
    <w:p>
      <w:pPr>
        <w:spacing w:after="120"/>
      </w:pPr>
    </w:p>
    <w:p>
      <w:pPr>
        <w:pStyle w:val="Heading1"/>
        <w:keepNext/>
      </w:pPr>
      <w:r>
        <w:t xml:space="preserve">8. KPIs</w:t>
      </w:r>
    </w:p>
    <w:p>
      <w:pPr>
        <w:pStyle w:val="ListParagraph"/>
        <w:numPr>
          <w:ilvl w:val="0"/>
          <w:numId w:val="1"/>
        </w:numPr>
        <w:spacing w:after="60"/>
      </w:pPr>
      <w:r>
        <w:t xml:space="preserve">Percentage of color services with a current patch test on file</w:t>
      </w:r>
    </w:p>
    <w:p>
      <w:pPr>
        <w:pStyle w:val="ListParagraph"/>
        <w:numPr>
          <w:ilvl w:val="0"/>
          <w:numId w:val="1"/>
        </w:numPr>
        <w:spacing w:after="60"/>
      </w:pPr>
      <w:r>
        <w:t xml:space="preserve">Number of adverse reactions reported per quarter</w:t>
      </w:r>
    </w:p>
    <w:p>
      <w:pPr>
        <w:pStyle w:val="ListParagraph"/>
        <w:numPr>
          <w:ilvl w:val="0"/>
          <w:numId w:val="1"/>
        </w:numPr>
        <w:spacing w:after="60"/>
      </w:pPr>
      <w:r>
        <w:t xml:space="preserve">Color correction or redo rate</w:t>
      </w:r>
    </w:p>
    <w:p>
      <w:pPr>
        <w:pStyle w:val="ListParagraph"/>
        <w:numPr>
          <w:ilvl w:val="0"/>
          <w:numId w:val="1"/>
        </w:numPr>
        <w:spacing w:after="60"/>
      </w:pPr>
      <w:r>
        <w:t xml:space="preserve">Client rebooking rate for color services</w:t>
      </w:r>
    </w:p>
    <w:p>
      <w:pPr>
        <w:spacing w:after="120"/>
      </w:pPr>
    </w:p>
    <w:p>
      <w:pPr>
        <w:pStyle w:val="Heading1"/>
        <w:keepNext/>
      </w:pPr>
      <w:r>
        <w:t xml:space="preserve">9. Common mistakes</w:t>
      </w:r>
    </w:p>
    <w:p>
      <w:pPr>
        <w:pStyle w:val="ListParagraph"/>
        <w:numPr>
          <w:ilvl w:val="0"/>
          <w:numId w:val="1"/>
        </w:numPr>
        <w:spacing w:after="60"/>
      </w:pPr>
      <w:r>
        <w:t xml:space="preserve">Skipping the patch test or its waiting period because the client seems familiar with the product.</w:t>
      </w:r>
    </w:p>
    <w:p>
      <w:pPr>
        <w:pStyle w:val="ListParagraph"/>
        <w:numPr>
          <w:ilvl w:val="0"/>
          <w:numId w:val="1"/>
        </w:numPr>
        <w:spacing w:after="60"/>
      </w:pPr>
      <w:r>
        <w:t xml:space="preserve">Mixing color and developer at the wrong ratio without checking the manufacturer's label.</w:t>
      </w:r>
    </w:p>
    <w:p>
      <w:pPr>
        <w:pStyle w:val="ListParagraph"/>
        <w:numPr>
          <w:ilvl w:val="0"/>
          <w:numId w:val="1"/>
        </w:numPr>
        <w:spacing w:after="60"/>
      </w:pPr>
      <w:r>
        <w:t xml:space="preserve">Not recording the exact formula used, causing inconsistent results at the next visit.</w:t>
      </w:r>
    </w:p>
    <w:p>
      <w:pPr>
        <w:pStyle w:val="ListParagraph"/>
        <w:numPr>
          <w:ilvl w:val="0"/>
          <w:numId w:val="1"/>
        </w:numPr>
        <w:spacing w:after="60"/>
      </w:pPr>
      <w:r>
        <w:t xml:space="preserve">Continuing a service after a client reports burning or discomfort instead of stopping immediately.</w:t>
      </w:r>
    </w:p>
    <w:p>
      <w:pPr>
        <w:spacing w:after="120"/>
      </w:pPr>
    </w:p>
    <w:p>
      <w:pPr>
        <w:pStyle w:val="Heading1"/>
        <w:keepNext/>
      </w:pPr>
      <w:r>
        <w:t xml:space="preserve">10. Revision history</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520"/>
        <w:gridCol w:w="2520"/>
        <w:gridCol w:w="2520"/>
        <w:gridCol w:w="2520"/>
      </w:tblGrid>
      <w:tr>
        <w:trPr>
          <w:tblHeader/>
        </w:trPr>
        <w:tc>
          <w:tcPr>
            <w:tcW w:type="dxa" w:w="2520"/>
            <w:shd w:fill="0E0820" w:color="auto" w:val="clear"/>
            <w:tcMar>
              <w:top w:type="dxa" w:w="70"/>
              <w:left w:type="dxa" w:w="110"/>
              <w:bottom w:type="dxa" w:w="70"/>
              <w:right w:type="dxa" w:w="110"/>
            </w:tcMar>
          </w:tcPr>
          <w:p>
            <w:r>
              <w:rPr>
                <w:b/>
                <w:bCs/>
                <w:color w:val="FFFFFF"/>
              </w:rPr>
              <w:t xml:space="preserve">Revision</w:t>
            </w:r>
          </w:p>
        </w:tc>
        <w:tc>
          <w:tcPr>
            <w:tcW w:type="dxa" w:w="2520"/>
            <w:shd w:fill="0E0820" w:color="auto" w:val="clear"/>
            <w:tcMar>
              <w:top w:type="dxa" w:w="70"/>
              <w:left w:type="dxa" w:w="110"/>
              <w:bottom w:type="dxa" w:w="70"/>
              <w:right w:type="dxa" w:w="110"/>
            </w:tcMar>
          </w:tcPr>
          <w:p>
            <w:r>
              <w:rPr>
                <w:b/>
                <w:bCs/>
                <w:color w:val="FFFFFF"/>
              </w:rPr>
              <w:t xml:space="preserve">Date</w:t>
            </w:r>
          </w:p>
        </w:tc>
        <w:tc>
          <w:tcPr>
            <w:tcW w:type="dxa" w:w="2520"/>
            <w:shd w:fill="0E0820" w:color="auto" w:val="clear"/>
            <w:tcMar>
              <w:top w:type="dxa" w:w="70"/>
              <w:left w:type="dxa" w:w="110"/>
              <w:bottom w:type="dxa" w:w="70"/>
              <w:right w:type="dxa" w:w="110"/>
            </w:tcMar>
          </w:tcPr>
          <w:p>
            <w:r>
              <w:rPr>
                <w:b/>
                <w:bCs/>
                <w:color w:val="FFFFFF"/>
              </w:rPr>
              <w:t xml:space="preserve">Description</w:t>
            </w:r>
          </w:p>
        </w:tc>
        <w:tc>
          <w:tcPr>
            <w:tcW w:type="dxa" w:w="2520"/>
            <w:shd w:fill="0E0820" w:color="auto" w:val="clear"/>
            <w:tcMar>
              <w:top w:type="dxa" w:w="70"/>
              <w:left w:type="dxa" w:w="110"/>
              <w:bottom w:type="dxa" w:w="70"/>
              <w:right w:type="dxa" w:w="110"/>
            </w:tcMar>
          </w:tcPr>
          <w:p>
            <w:r>
              <w:rPr>
                <w:b/>
                <w:bCs/>
                <w:color w:val="FFFFFF"/>
              </w:rPr>
              <w:t xml:space="preserve">Reviewed by</w:t>
            </w:r>
          </w:p>
        </w:tc>
      </w:tr>
      <w:tr>
        <w:tc>
          <w:tcPr>
            <w:tcW w:type="dxa" w:w="2520"/>
            <w:tcMar>
              <w:top w:type="dxa" w:w="70"/>
              <w:left w:type="dxa" w:w="110"/>
              <w:bottom w:type="dxa" w:w="70"/>
              <w:right w:type="dxa" w:w="110"/>
            </w:tcMar>
          </w:tcPr>
          <w:p>
            <w:r>
              <w:t xml:space="preserve">1.0</w:t>
            </w:r>
          </w:p>
        </w:tc>
        <w:tc>
          <w:tcPr>
            <w:tcW w:type="dxa" w:w="2520"/>
            <w:tcMar>
              <w:top w:type="dxa" w:w="70"/>
              <w:left w:type="dxa" w:w="110"/>
              <w:bottom w:type="dxa" w:w="70"/>
              <w:right w:type="dxa" w:w="110"/>
            </w:tcMar>
          </w:tcPr>
          <w:p>
            <w:r>
              <w:t xml:space="preserve">September 15, 2026</w:t>
            </w:r>
          </w:p>
        </w:tc>
        <w:tc>
          <w:tcPr>
            <w:tcW w:type="dxa" w:w="2520"/>
            <w:tcMar>
              <w:top w:type="dxa" w:w="70"/>
              <w:left w:type="dxa" w:w="110"/>
              <w:bottom w:type="dxa" w:w="70"/>
              <w:right w:type="dxa" w:w="110"/>
            </w:tcMar>
          </w:tcPr>
          <w:p>
            <w:r>
              <w:t xml:space="preserve">Initial release</w:t>
            </w:r>
          </w:p>
        </w:tc>
        <w:tc>
          <w:tcPr>
            <w:tcW w:type="dxa" w:w="2520"/>
            <w:tcMar>
              <w:top w:type="dxa" w:w="70"/>
              <w:left w:type="dxa" w:w="110"/>
              <w:bottom w:type="dxa" w:w="70"/>
              <w:right w:type="dxa" w:w="110"/>
            </w:tcMar>
          </w:tcPr>
          <w:p>
            <w:r>
              <w:t xml:space="preserve">Alexa Uskova</w:t>
            </w:r>
          </w:p>
        </w:tc>
      </w:tr>
    </w:tbl>
    <w:p>
      <w:pPr>
        <w:spacing w:after="120"/>
      </w:pPr>
    </w:p>
    <w:p>
      <w:pPr>
        <w:pStyle w:val="Heading1"/>
        <w:keepNext/>
      </w:pPr>
      <w:r>
        <w:t xml:space="preserve">Approval</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3360"/>
        <w:gridCol w:w="3360"/>
        <w:gridCol w:w="3360"/>
      </w:tblGrid>
      <w:tr>
        <w:trPr>
          <w:tblHeader/>
        </w:trPr>
        <w:tc>
          <w:tcPr>
            <w:tcW w:type="dxa" w:w="3360"/>
            <w:shd w:fill="0E0820" w:color="auto" w:val="clear"/>
            <w:tcMar>
              <w:top w:type="dxa" w:w="70"/>
              <w:left w:type="dxa" w:w="110"/>
              <w:bottom w:type="dxa" w:w="70"/>
              <w:right w:type="dxa" w:w="110"/>
            </w:tcMar>
          </w:tcPr>
          <w:p>
            <w:r>
              <w:rPr>
                <w:b/>
                <w:bCs/>
                <w:color w:val="FFFFFF"/>
              </w:rPr>
              <w:t xml:space="preserve">Prepared by</w:t>
            </w:r>
          </w:p>
        </w:tc>
        <w:tc>
          <w:tcPr>
            <w:tcW w:type="dxa" w:w="3360"/>
            <w:shd w:fill="0E0820" w:color="auto" w:val="clear"/>
            <w:tcMar>
              <w:top w:type="dxa" w:w="70"/>
              <w:left w:type="dxa" w:w="110"/>
              <w:bottom w:type="dxa" w:w="70"/>
              <w:right w:type="dxa" w:w="110"/>
            </w:tcMar>
          </w:tcPr>
          <w:p>
            <w:r>
              <w:rPr>
                <w:b/>
                <w:bCs/>
                <w:color w:val="FFFFFF"/>
              </w:rPr>
              <w:t xml:space="preserve">Approved by</w:t>
            </w:r>
          </w:p>
        </w:tc>
        <w:tc>
          <w:tcPr>
            <w:tcW w:type="dxa" w:w="3360"/>
            <w:shd w:fill="0E0820" w:color="auto" w:val="clear"/>
            <w:tcMar>
              <w:top w:type="dxa" w:w="70"/>
              <w:left w:type="dxa" w:w="110"/>
              <w:bottom w:type="dxa" w:w="70"/>
              <w:right w:type="dxa" w:w="110"/>
            </w:tcMar>
          </w:tcPr>
          <w:p>
            <w:r>
              <w:rPr>
                <w:b/>
                <w:bCs/>
                <w:color w:val="FFFFFF"/>
              </w:rPr>
              <w:t xml:space="preserve">Date</w:t>
            </w:r>
          </w:p>
        </w:tc>
      </w:tr>
      <w:tr>
        <w:trPr>
          <w:trHeight w:val="800" w:hRule="atLeast"/>
        </w:trPr>
        <w:tc>
          <w:tcPr>
            <w:tcW w:type="dxa" w:w="3360"/>
            <w:tcMar>
              <w:top w:type="dxa" w:w="70"/>
              <w:left w:type="dxa" w:w="110"/>
              <w:bottom w:type="dxa" w:w="70"/>
              <w:right w:type="dxa" w:w="110"/>
            </w:tcMar>
          </w:tcPr>
          <w:p>
            <w:r>
              <w:t xml:space="preserve"/>
            </w:r>
          </w:p>
        </w:tc>
        <w:tc>
          <w:tcPr>
            <w:tcW w:type="dxa" w:w="3360"/>
            <w:tcMar>
              <w:top w:type="dxa" w:w="70"/>
              <w:left w:type="dxa" w:w="110"/>
              <w:bottom w:type="dxa" w:w="70"/>
              <w:right w:type="dxa" w:w="110"/>
            </w:tcMar>
          </w:tcPr>
          <w:p>
            <w:r>
              <w:t xml:space="preserve"/>
            </w:r>
          </w:p>
        </w:tc>
        <w:tc>
          <w:tcPr>
            <w:tcW w:type="dxa" w:w="3360"/>
            <w:tcMar>
              <w:top w:type="dxa" w:w="70"/>
              <w:left w:type="dxa" w:w="110"/>
              <w:bottom w:type="dxa" w:w="70"/>
              <w:right w:type="dxa" w:w="110"/>
            </w:tcMar>
          </w:tcPr>
          <w:p>
            <w:r>
              <w:t xml:space="preserve"/>
            </w:r>
          </w:p>
        </w:tc>
      </w:tr>
    </w:tbl>
    <w:p>
      <w:pPr>
        <w:spacing w:after="120"/>
      </w:pPr>
    </w:p>
    <w:p>
      <w:pPr>
        <w:spacing w:after="200"/>
      </w:pPr>
      <w:r>
        <w:rPr>
          <w:i/>
          <w:iCs/>
          <w:color w:val="6B5B80"/>
          <w:sz w:val="16"/>
          <w:szCs w:val="16"/>
        </w:rPr>
        <w:t xml:space="preserve">This is a template. Adapt it to your organization, equipment and local regulations before use.</w:t>
      </w:r>
    </w:p>
    <w:p>
      <w:r>
        <w:rPr>
          <w:b/>
          <w:bCs/>
          <w:color w:val="0E0820"/>
        </w:rPr>
        <w:t xml:space="preserve">Keep this SOP up to date. </w:t>
      </w:r>
      <w:r>
        <w:t xml:space="preserve">Add it to Perfect Wiki so your team can find it and ask questions about it in Microsoft Teams, Slack, kChat or Mattermost: </w:t>
      </w:r>
      <w:hyperlink w:history="1" r:id="rIdx7vdn8wxa8a5gxzecsy6a">
        <w:r>
          <w:rPr>
            <w:color w:val="D4005C"/>
            <w:u w:val="single"/>
          </w:rPr>
          <w:t xml:space="preserve">Add to Perfect Wiki</w:t>
        </w:r>
      </w:hyperlink>
    </w:p>
    <w:sectPr>
      <w:headerReference w:type="default" r:id="rId6"/>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 cy="114300"/>
                  </a:xfrm>
                  <a:prstGeom prst="rect">
                    <a:avLst/>
                  </a:prstGeom>
                </pic:spPr>
              </pic:pic>
            </a:graphicData>
          </a:graphic>
        </wp:inline>
      </w:drawing>
    </w:r>
    <w:r>
      <w:rPr>
        <w:color w:val="6B5B80"/>
        <w:sz w:val="16"/>
        <w:szCs w:val="16"/>
      </w:rPr>
      <w:t xml:space="preserve">  Free SOP template by </w:t>
    </w:r>
    <w:hyperlink w:history="1" r:id="rIdzior1g6sljtiqstaicwcv">
      <w:r>
        <w:rPr>
          <w:color w:val="D4005C"/>
          <w:sz w:val="16"/>
          <w:szCs w:val="16"/>
          <w:u w:val="single"/>
        </w:rPr>
        <w:t xml:space="preserve">Perfect Wiki</w:t>
      </w:r>
    </w:hyperlink>
    <w:r>
      <w:rPr>
        <w:color w:val="6B5B80"/>
        <w:sz w:val="16"/>
        <w:szCs w:val="16"/>
      </w:rPr>
      <w:t xml:space="preserve">    |    Page </w:t>
    </w:r>
    <w:r>
      <w:rPr>
        <w:color w:val="6B5B80"/>
        <w:sz w:val="16"/>
        <w:szCs w:val="16"/>
      </w:rPr>
      <w:fldChar w:fldCharType="begin"/>
      <w:instrText xml:space="preserve">PAGE</w:instrText>
      <w:fldChar w:fldCharType="separate"/>
      <w:fldChar w:fldCharType="end"/>
    </w:r>
    <w:r>
      <w:rPr>
        <w:color w:val="6B5B80"/>
        <w:sz w:val="16"/>
        <w:szCs w:val="16"/>
      </w:rPr>
      <w:t xml:space="preserve"> of </w:t>
    </w:r>
    <w:r>
      <w:rPr>
        <w:color w:val="6B5B8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5B80"/>
        <w:sz w:val="16"/>
        <w:szCs w:val="16"/>
      </w:rPr>
      <w:t xml:space="preserve">SOP-SAL-004  |  Hair Color Service SOP  |  Rev 1.0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D1F3D"/>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360" w:after="120"/>
    </w:pPr>
    <w:rPr>
      <w:rFonts w:ascii="Calibri" w:cs="Calibri" w:eastAsia="Calibri" w:hAnsi="Calibri"/>
      <w:b/>
      <w:bCs/>
      <w:color w:val="0E0820"/>
      <w:sz w:val="30"/>
      <w:szCs w:val="30"/>
    </w:rPr>
  </w:style>
  <w:style w:type="paragraph" w:styleId="Heading3">
    <w:name w:val="Heading 3"/>
    <w:basedOn w:val="Normal"/>
    <w:next w:val="Normal"/>
    <w:qFormat/>
    <w:pPr>
      <w:spacing w:before="160" w:after="80"/>
    </w:pPr>
    <w:rPr>
      <w:rFonts w:ascii="Calibri" w:cs="Calibri" w:eastAsia="Calibri" w:hAnsi="Calibri"/>
      <w:b/>
      <w:bCs/>
      <w:color w:val="0E0820"/>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x7vdn8wxa8a5gxzecsy6a" Type="http://schemas.openxmlformats.org/officeDocument/2006/relationships/hyperlink" Target="https://app.perfectwiki.xyz/demo?source=sop_template&amp;template=pwsxLgeclAIhyCqWiCURaAQ" TargetMode="External"/><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ior1g6sljtiqstaicwcv" Type="http://schemas.openxmlformats.org/officeDocument/2006/relationships/hyperlink" Target="https://perfectwikiforteams.com/sop-templates/salon-spa/hair-color-service/?ref=docx" TargetMode="External"/><Relationship Id="rId0" Type="http://schemas.openxmlformats.org/officeDocument/2006/relationships/image" Target="media/4faad5d116a56847d53c1af233efb4a0f8231e94.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 Color Service SOP</dc:title>
  <dc:creator>Perfect Wiki</dc:creator>
  <dc:description>Hair Color Service SOP template</dc:description>
  <cp:lastModifiedBy>Un-named</cp:lastModifiedBy>
  <cp:revision>1</cp:revision>
  <dcterms:created xsi:type="dcterms:W3CDTF">2026-09-21T13:15:41.222Z</dcterms:created>
  <dcterms:modified xsi:type="dcterms:W3CDTF">2026-09-21T13:15:41.222Z</dcterms:modified>
</cp:coreProperties>
</file>

<file path=docProps/custom.xml><?xml version="1.0" encoding="utf-8"?>
<Properties xmlns="http://schemas.openxmlformats.org/officeDocument/2006/custom-properties" xmlns:vt="http://schemas.openxmlformats.org/officeDocument/2006/docPropsVTypes"/>
</file>